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6D" w:rsidRDefault="00F3397C">
      <w:pPr>
        <w:pStyle w:val="WPSOffice1"/>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附件5</w:t>
      </w:r>
    </w:p>
    <w:p w:rsidR="00BD7A6D" w:rsidRDefault="00F3397C">
      <w:pPr>
        <w:pStyle w:val="WPSOffice1"/>
        <w:jc w:val="center"/>
        <w:rPr>
          <w:rFonts w:asciiTheme="minorEastAsia" w:eastAsiaTheme="minorEastAsia" w:hAnsiTheme="minorEastAsia"/>
          <w:sz w:val="36"/>
        </w:rPr>
      </w:pPr>
      <w:r w:rsidRPr="00F3397C">
        <w:rPr>
          <w:rFonts w:ascii="仿宋_GB2312" w:eastAsia="仿宋_GB2312" w:hAnsi="仿宋_GB2312" w:cs="仿宋_GB2312" w:hint="eastAsia"/>
          <w:sz w:val="28"/>
          <w:szCs w:val="28"/>
        </w:rPr>
        <w:t>关于招标采购</w:t>
      </w:r>
      <w:proofErr w:type="gramStart"/>
      <w:r w:rsidRPr="00F3397C">
        <w:rPr>
          <w:rFonts w:ascii="仿宋_GB2312" w:eastAsia="仿宋_GB2312" w:hAnsi="仿宋_GB2312" w:cs="仿宋_GB2312" w:hint="eastAsia"/>
          <w:sz w:val="28"/>
          <w:szCs w:val="28"/>
        </w:rPr>
        <w:t>消防维保服务</w:t>
      </w:r>
      <w:proofErr w:type="gramEnd"/>
      <w:r>
        <w:rPr>
          <w:rFonts w:ascii="仿宋_GB2312" w:eastAsia="仿宋_GB2312" w:hAnsi="仿宋_GB2312" w:cs="仿宋_GB2312" w:hint="eastAsia"/>
          <w:sz w:val="28"/>
          <w:szCs w:val="28"/>
        </w:rPr>
        <w:t>综合评分明细表</w:t>
      </w:r>
    </w:p>
    <w:tbl>
      <w:tblPr>
        <w:tblW w:w="8880"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55"/>
        <w:gridCol w:w="955"/>
        <w:gridCol w:w="4905"/>
        <w:gridCol w:w="1245"/>
      </w:tblGrid>
      <w:tr w:rsidR="00BD7A6D">
        <w:trPr>
          <w:trHeight w:val="90"/>
        </w:trPr>
        <w:tc>
          <w:tcPr>
            <w:tcW w:w="720" w:type="dxa"/>
            <w:vAlign w:val="center"/>
          </w:tcPr>
          <w:p w:rsidR="00BD7A6D" w:rsidRDefault="00F3397C">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055" w:type="dxa"/>
            <w:vAlign w:val="center"/>
          </w:tcPr>
          <w:p w:rsidR="00BD7A6D" w:rsidRDefault="00F3397C">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评分</w:t>
            </w:r>
          </w:p>
          <w:p w:rsidR="00BD7A6D" w:rsidRDefault="00F3397C">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因素</w:t>
            </w:r>
          </w:p>
        </w:tc>
        <w:tc>
          <w:tcPr>
            <w:tcW w:w="955" w:type="dxa"/>
            <w:vAlign w:val="center"/>
          </w:tcPr>
          <w:p w:rsidR="00BD7A6D" w:rsidRDefault="00F3397C">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分值</w:t>
            </w:r>
          </w:p>
        </w:tc>
        <w:tc>
          <w:tcPr>
            <w:tcW w:w="4905" w:type="dxa"/>
            <w:vAlign w:val="center"/>
          </w:tcPr>
          <w:p w:rsidR="00BD7A6D" w:rsidRDefault="00F3397C">
            <w:pPr>
              <w:spacing w:line="360" w:lineRule="auto"/>
              <w:jc w:val="center"/>
              <w:rPr>
                <w:rFonts w:ascii="宋体" w:eastAsia="宋体" w:hAnsi="宋体" w:cs="宋体"/>
                <w:b/>
                <w:bCs/>
                <w:kern w:val="0"/>
                <w:sz w:val="24"/>
                <w:szCs w:val="24"/>
              </w:rPr>
            </w:pPr>
            <w:r>
              <w:rPr>
                <w:rFonts w:ascii="宋体" w:eastAsia="宋体" w:hAnsi="宋体" w:cs="宋体" w:hint="eastAsia"/>
                <w:b/>
                <w:bCs/>
                <w:kern w:val="0"/>
                <w:sz w:val="24"/>
                <w:szCs w:val="24"/>
              </w:rPr>
              <w:t>评分标准</w:t>
            </w:r>
          </w:p>
        </w:tc>
        <w:tc>
          <w:tcPr>
            <w:tcW w:w="1245" w:type="dxa"/>
            <w:vAlign w:val="center"/>
          </w:tcPr>
          <w:p w:rsidR="00BD7A6D" w:rsidRDefault="00F3397C">
            <w:pPr>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说明</w:t>
            </w:r>
          </w:p>
        </w:tc>
      </w:tr>
      <w:tr w:rsidR="00BD7A6D">
        <w:trPr>
          <w:trHeight w:val="522"/>
        </w:trPr>
        <w:tc>
          <w:tcPr>
            <w:tcW w:w="720"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0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报价30%</w:t>
            </w:r>
          </w:p>
        </w:tc>
        <w:tc>
          <w:tcPr>
            <w:tcW w:w="9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30分</w:t>
            </w:r>
          </w:p>
        </w:tc>
        <w:tc>
          <w:tcPr>
            <w:tcW w:w="4905" w:type="dxa"/>
            <w:vAlign w:val="center"/>
          </w:tcPr>
          <w:p w:rsidR="00BD7A6D" w:rsidRDefault="00F3397C">
            <w:pPr>
              <w:spacing w:line="360" w:lineRule="auto"/>
              <w:rPr>
                <w:rFonts w:ascii="宋体" w:eastAsia="宋体" w:hAnsi="宋体" w:cs="宋体"/>
                <w:sz w:val="24"/>
                <w:szCs w:val="24"/>
              </w:rPr>
            </w:pPr>
            <w:r>
              <w:rPr>
                <w:rFonts w:ascii="宋体" w:eastAsia="宋体" w:hAnsi="宋体" w:cs="宋体" w:hint="eastAsia"/>
                <w:sz w:val="24"/>
                <w:szCs w:val="24"/>
              </w:rPr>
              <w:t>经评审，通过资格性和符合性审查，且报价最低的供应商的比选报价作为评标基准价，其余供应商比选报价得分＝（基准价/比选报价）×30</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共同</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sz w:val="24"/>
                <w:szCs w:val="24"/>
              </w:rPr>
              <w:t>评分因素</w:t>
            </w:r>
          </w:p>
        </w:tc>
      </w:tr>
      <w:tr w:rsidR="00BD7A6D">
        <w:trPr>
          <w:trHeight w:val="522"/>
        </w:trPr>
        <w:tc>
          <w:tcPr>
            <w:tcW w:w="720"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0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服务要求响应</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w:t>
            </w:r>
          </w:p>
        </w:tc>
        <w:tc>
          <w:tcPr>
            <w:tcW w:w="9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10分</w:t>
            </w:r>
          </w:p>
        </w:tc>
        <w:tc>
          <w:tcPr>
            <w:tcW w:w="4905" w:type="dxa"/>
            <w:vAlign w:val="center"/>
          </w:tcPr>
          <w:p w:rsidR="00BD7A6D" w:rsidRDefault="00F3397C">
            <w:pPr>
              <w:spacing w:line="360" w:lineRule="auto"/>
              <w:jc w:val="left"/>
              <w:rPr>
                <w:rFonts w:ascii="宋体" w:eastAsia="宋体" w:hAnsi="宋体" w:cs="宋体"/>
                <w:sz w:val="24"/>
                <w:szCs w:val="24"/>
              </w:rPr>
            </w:pPr>
            <w:r>
              <w:rPr>
                <w:rFonts w:ascii="宋体" w:eastAsia="宋体" w:hAnsi="宋体" w:cs="宋体" w:hint="eastAsia"/>
                <w:sz w:val="24"/>
                <w:szCs w:val="24"/>
              </w:rPr>
              <w:t>服务标准及要求完全满足招标文件要求得10分，每有一项不满足或缺项的扣2分，扣完为止。</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技术类</w:t>
            </w:r>
          </w:p>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评审因素</w:t>
            </w:r>
          </w:p>
        </w:tc>
      </w:tr>
      <w:tr w:rsidR="00BD7A6D">
        <w:trPr>
          <w:trHeight w:val="2800"/>
        </w:trPr>
        <w:tc>
          <w:tcPr>
            <w:tcW w:w="720" w:type="dxa"/>
            <w:vMerge w:val="restart"/>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055" w:type="dxa"/>
            <w:vMerge w:val="restart"/>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方案30%</w:t>
            </w:r>
          </w:p>
        </w:tc>
        <w:tc>
          <w:tcPr>
            <w:tcW w:w="9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质量保证方案10分</w:t>
            </w:r>
          </w:p>
        </w:tc>
        <w:tc>
          <w:tcPr>
            <w:tcW w:w="4905" w:type="dxa"/>
            <w:vAlign w:val="center"/>
          </w:tcPr>
          <w:p w:rsidR="00BD7A6D" w:rsidRDefault="00F3397C">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供应商提供的质量保证方案进行评审，从是否全面合理、可行、可靠进行评审。质量承诺满足招标文件，对项目质量保证措施阐述明确，完全满足招标文件要求的得10分；措施实施缺乏针对性扣5分；措施混乱实施不可行的不得分。</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技术类</w:t>
            </w:r>
          </w:p>
          <w:p w:rsidR="00BD7A6D" w:rsidRDefault="00F3397C">
            <w:pPr>
              <w:spacing w:line="360" w:lineRule="auto"/>
              <w:rPr>
                <w:rFonts w:ascii="宋体" w:eastAsia="宋体" w:hAnsi="宋体" w:cs="宋体"/>
                <w:kern w:val="0"/>
                <w:sz w:val="24"/>
                <w:szCs w:val="24"/>
              </w:rPr>
            </w:pPr>
            <w:r>
              <w:rPr>
                <w:rFonts w:ascii="宋体" w:eastAsia="宋体" w:hAnsi="宋体" w:cs="宋体" w:hint="eastAsia"/>
                <w:sz w:val="24"/>
                <w:szCs w:val="24"/>
              </w:rPr>
              <w:t>评审因素</w:t>
            </w:r>
          </w:p>
        </w:tc>
      </w:tr>
      <w:tr w:rsidR="00BD7A6D">
        <w:trPr>
          <w:trHeight w:val="1852"/>
        </w:trPr>
        <w:tc>
          <w:tcPr>
            <w:tcW w:w="720" w:type="dxa"/>
            <w:vMerge/>
            <w:vAlign w:val="center"/>
          </w:tcPr>
          <w:p w:rsidR="00BD7A6D" w:rsidRDefault="00BD7A6D">
            <w:pPr>
              <w:spacing w:line="360" w:lineRule="auto"/>
              <w:jc w:val="center"/>
              <w:rPr>
                <w:rFonts w:ascii="宋体" w:eastAsia="宋体" w:hAnsi="宋体" w:cs="宋体"/>
                <w:kern w:val="0"/>
                <w:sz w:val="24"/>
                <w:szCs w:val="24"/>
              </w:rPr>
            </w:pPr>
          </w:p>
        </w:tc>
        <w:tc>
          <w:tcPr>
            <w:tcW w:w="1055" w:type="dxa"/>
            <w:vMerge/>
            <w:vAlign w:val="center"/>
          </w:tcPr>
          <w:p w:rsidR="00BD7A6D" w:rsidRDefault="00BD7A6D">
            <w:pPr>
              <w:spacing w:line="360" w:lineRule="auto"/>
              <w:ind w:firstLineChars="100" w:firstLine="240"/>
              <w:jc w:val="center"/>
              <w:rPr>
                <w:rFonts w:ascii="宋体" w:eastAsia="宋体" w:hAnsi="宋体" w:cs="宋体"/>
                <w:kern w:val="0"/>
                <w:sz w:val="24"/>
                <w:szCs w:val="24"/>
              </w:rPr>
            </w:pPr>
          </w:p>
        </w:tc>
        <w:tc>
          <w:tcPr>
            <w:tcW w:w="955" w:type="dxa"/>
            <w:vAlign w:val="center"/>
          </w:tcPr>
          <w:p w:rsidR="00BD7A6D" w:rsidRDefault="00F3397C">
            <w:pPr>
              <w:widowControl/>
              <w:spacing w:line="360" w:lineRule="auto"/>
              <w:jc w:val="center"/>
              <w:rPr>
                <w:rFonts w:ascii="宋体" w:eastAsia="宋体" w:hAnsi="宋体" w:cs="宋体"/>
                <w:kern w:val="0"/>
                <w:sz w:val="24"/>
                <w:szCs w:val="24"/>
              </w:rPr>
            </w:pPr>
            <w:r>
              <w:rPr>
                <w:rFonts w:ascii="宋体" w:eastAsia="宋体" w:hAnsi="宋体" w:cs="宋体" w:hint="eastAsia"/>
                <w:sz w:val="24"/>
                <w:szCs w:val="24"/>
              </w:rPr>
              <w:t>后期服务配合方案10分</w:t>
            </w:r>
          </w:p>
        </w:tc>
        <w:tc>
          <w:tcPr>
            <w:tcW w:w="4905" w:type="dxa"/>
            <w:vAlign w:val="center"/>
          </w:tcPr>
          <w:p w:rsidR="00BD7A6D" w:rsidRDefault="00F3397C">
            <w:pPr>
              <w:widowControl/>
              <w:spacing w:line="360" w:lineRule="auto"/>
              <w:rPr>
                <w:rFonts w:ascii="宋体" w:eastAsia="宋体" w:hAnsi="宋体" w:cs="宋体"/>
                <w:kern w:val="0"/>
                <w:sz w:val="24"/>
                <w:szCs w:val="24"/>
              </w:rPr>
            </w:pPr>
            <w:r>
              <w:rPr>
                <w:rFonts w:ascii="宋体" w:eastAsia="宋体" w:hAnsi="宋体" w:cs="宋体" w:hint="eastAsia"/>
                <w:sz w:val="24"/>
                <w:szCs w:val="24"/>
              </w:rPr>
              <w:t>根据供应商对本项目的售后服务承诺包括但不限于：今后服务承诺、响应时效性、售后服务制度等进行描述，售后服务承诺完整，响应速度快，售后服务制度健全切实符合采购人需求的得10分，每有一项缺失或不完整的扣5分，扣完为止。</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技术类</w:t>
            </w:r>
          </w:p>
          <w:p w:rsidR="00BD7A6D" w:rsidRDefault="00F3397C">
            <w:pPr>
              <w:spacing w:line="360" w:lineRule="auto"/>
              <w:rPr>
                <w:rFonts w:ascii="宋体" w:eastAsia="宋体" w:hAnsi="宋体" w:cs="宋体"/>
                <w:kern w:val="0"/>
                <w:sz w:val="24"/>
                <w:szCs w:val="24"/>
              </w:rPr>
            </w:pPr>
            <w:r>
              <w:rPr>
                <w:rFonts w:ascii="宋体" w:eastAsia="宋体" w:hAnsi="宋体" w:cs="宋体" w:hint="eastAsia"/>
                <w:sz w:val="24"/>
                <w:szCs w:val="24"/>
              </w:rPr>
              <w:t>评审因素</w:t>
            </w:r>
          </w:p>
        </w:tc>
      </w:tr>
      <w:tr w:rsidR="00BD7A6D">
        <w:trPr>
          <w:trHeight w:val="700"/>
        </w:trPr>
        <w:tc>
          <w:tcPr>
            <w:tcW w:w="720" w:type="dxa"/>
            <w:vMerge/>
            <w:vAlign w:val="center"/>
          </w:tcPr>
          <w:p w:rsidR="00BD7A6D" w:rsidRDefault="00BD7A6D">
            <w:pPr>
              <w:spacing w:line="360" w:lineRule="auto"/>
              <w:jc w:val="center"/>
              <w:rPr>
                <w:rFonts w:ascii="宋体" w:eastAsia="宋体" w:hAnsi="宋体" w:cs="宋体"/>
                <w:kern w:val="0"/>
                <w:sz w:val="24"/>
                <w:szCs w:val="24"/>
              </w:rPr>
            </w:pPr>
          </w:p>
        </w:tc>
        <w:tc>
          <w:tcPr>
            <w:tcW w:w="1055" w:type="dxa"/>
            <w:vMerge/>
            <w:vAlign w:val="center"/>
          </w:tcPr>
          <w:p w:rsidR="00BD7A6D" w:rsidRDefault="00BD7A6D">
            <w:pPr>
              <w:spacing w:line="360" w:lineRule="auto"/>
              <w:ind w:firstLineChars="100" w:firstLine="240"/>
              <w:jc w:val="center"/>
              <w:rPr>
                <w:rFonts w:ascii="宋体" w:eastAsia="宋体" w:hAnsi="宋体" w:cs="宋体"/>
                <w:kern w:val="0"/>
                <w:sz w:val="24"/>
                <w:szCs w:val="24"/>
              </w:rPr>
            </w:pPr>
          </w:p>
        </w:tc>
        <w:tc>
          <w:tcPr>
            <w:tcW w:w="9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进度计划及保障措施方案10分</w:t>
            </w:r>
          </w:p>
        </w:tc>
        <w:tc>
          <w:tcPr>
            <w:tcW w:w="4905" w:type="dxa"/>
            <w:vAlign w:val="center"/>
          </w:tcPr>
          <w:p w:rsidR="00BD7A6D" w:rsidRDefault="00F3397C">
            <w:pPr>
              <w:spacing w:line="360" w:lineRule="auto"/>
              <w:rPr>
                <w:rFonts w:ascii="宋体" w:eastAsia="宋体" w:hAnsi="宋体" w:cs="宋体"/>
                <w:kern w:val="0"/>
                <w:sz w:val="24"/>
                <w:szCs w:val="24"/>
              </w:rPr>
            </w:pPr>
            <w:r>
              <w:rPr>
                <w:rFonts w:ascii="宋体" w:eastAsia="宋体" w:hAnsi="宋体" w:cs="宋体" w:hint="eastAsia"/>
                <w:kern w:val="0"/>
                <w:sz w:val="24"/>
                <w:szCs w:val="24"/>
              </w:rPr>
              <w:t>根据供应商提供的进度计划及保障措施方案进行评审，从是否全面合理、可行、可靠进行评审。完全满足招标文件要求有针对本项目制定工期安排和工作任务完成的时限的得10分；工期安排不合理扣5分；措施混乱实施不可行的不得分。</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技术类</w:t>
            </w:r>
          </w:p>
          <w:p w:rsidR="00BD7A6D" w:rsidRDefault="00F3397C">
            <w:pPr>
              <w:spacing w:line="360" w:lineRule="auto"/>
              <w:rPr>
                <w:rFonts w:ascii="宋体" w:eastAsia="宋体" w:hAnsi="宋体" w:cs="宋体"/>
                <w:kern w:val="0"/>
                <w:sz w:val="24"/>
                <w:szCs w:val="24"/>
              </w:rPr>
            </w:pPr>
            <w:r>
              <w:rPr>
                <w:rFonts w:ascii="宋体" w:eastAsia="宋体" w:hAnsi="宋体" w:cs="宋体" w:hint="eastAsia"/>
                <w:sz w:val="24"/>
                <w:szCs w:val="24"/>
              </w:rPr>
              <w:t>评审因素</w:t>
            </w:r>
          </w:p>
        </w:tc>
      </w:tr>
      <w:tr w:rsidR="00BD7A6D">
        <w:trPr>
          <w:trHeight w:val="5570"/>
        </w:trPr>
        <w:tc>
          <w:tcPr>
            <w:tcW w:w="720"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4</w:t>
            </w:r>
          </w:p>
        </w:tc>
        <w:tc>
          <w:tcPr>
            <w:tcW w:w="10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服务</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团队18%</w:t>
            </w:r>
          </w:p>
        </w:tc>
        <w:tc>
          <w:tcPr>
            <w:tcW w:w="9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18分</w:t>
            </w:r>
          </w:p>
        </w:tc>
        <w:tc>
          <w:tcPr>
            <w:tcW w:w="4905" w:type="dxa"/>
            <w:vAlign w:val="center"/>
          </w:tcPr>
          <w:p w:rsidR="00BD7A6D" w:rsidRDefault="00F3397C">
            <w:pPr>
              <w:tabs>
                <w:tab w:val="center" w:pos="4153"/>
                <w:tab w:val="right" w:pos="8306"/>
              </w:tabs>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1.项目服务团队人员配置数量不低于</w:t>
            </w:r>
            <w:r>
              <w:rPr>
                <w:rFonts w:ascii="宋体" w:eastAsia="宋体" w:hAnsi="宋体" w:cs="宋体" w:hint="eastAsia"/>
                <w:color w:val="FF0000"/>
                <w:kern w:val="0"/>
                <w:sz w:val="24"/>
                <w:szCs w:val="24"/>
              </w:rPr>
              <w:t>2</w:t>
            </w:r>
            <w:r>
              <w:rPr>
                <w:rFonts w:ascii="宋体" w:eastAsia="宋体" w:hAnsi="宋体" w:cs="宋体" w:hint="eastAsia"/>
                <w:kern w:val="0"/>
                <w:sz w:val="24"/>
                <w:szCs w:val="24"/>
              </w:rPr>
              <w:t>人者得2分。</w:t>
            </w:r>
          </w:p>
          <w:p w:rsidR="00BD7A6D" w:rsidRDefault="00F3397C">
            <w:pPr>
              <w:tabs>
                <w:tab w:val="center" w:pos="4153"/>
                <w:tab w:val="right" w:pos="8306"/>
              </w:tabs>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2.人员岗位配置合理，分工职责明确、精细者得</w:t>
            </w:r>
            <w:r w:rsidR="00D1624E">
              <w:rPr>
                <w:rFonts w:ascii="宋体" w:eastAsia="宋体" w:hAnsi="宋体" w:cs="宋体"/>
                <w:kern w:val="0"/>
                <w:sz w:val="24"/>
                <w:szCs w:val="24"/>
              </w:rPr>
              <w:t>4</w:t>
            </w:r>
            <w:r>
              <w:rPr>
                <w:rFonts w:ascii="宋体" w:eastAsia="宋体" w:hAnsi="宋体" w:cs="宋体" w:hint="eastAsia"/>
                <w:kern w:val="0"/>
                <w:sz w:val="24"/>
                <w:szCs w:val="24"/>
              </w:rPr>
              <w:t>分。</w:t>
            </w:r>
          </w:p>
          <w:p w:rsidR="00BD7A6D" w:rsidRPr="00F3397C" w:rsidRDefault="00F3397C">
            <w:pPr>
              <w:spacing w:line="360" w:lineRule="auto"/>
              <w:rPr>
                <w:rFonts w:ascii="宋体" w:eastAsia="宋体" w:hAnsi="宋体" w:cs="宋体"/>
                <w:sz w:val="24"/>
                <w:szCs w:val="24"/>
              </w:rPr>
            </w:pPr>
            <w:r>
              <w:rPr>
                <w:rFonts w:ascii="宋体" w:eastAsia="宋体" w:hAnsi="宋体" w:cs="宋体" w:hint="eastAsia"/>
                <w:kern w:val="0"/>
                <w:sz w:val="24"/>
                <w:szCs w:val="24"/>
              </w:rPr>
              <w:t>3、</w:t>
            </w:r>
            <w:r w:rsidRPr="00F3397C">
              <w:rPr>
                <w:rFonts w:ascii="宋体" w:eastAsia="宋体" w:hAnsi="宋体" w:cs="宋体" w:hint="eastAsia"/>
                <w:kern w:val="0"/>
                <w:sz w:val="24"/>
                <w:szCs w:val="24"/>
                <w:lang w:val="zh-CN"/>
              </w:rPr>
              <w:t>项目负责人：项目负责人和技术负责人为一级注册消防工程师</w:t>
            </w:r>
            <w:r w:rsidRPr="00F3397C">
              <w:rPr>
                <w:rFonts w:ascii="宋体" w:eastAsia="宋体" w:hAnsi="宋体" w:cs="宋体" w:hint="eastAsia"/>
                <w:kern w:val="0"/>
                <w:sz w:val="24"/>
                <w:szCs w:val="24"/>
              </w:rPr>
              <w:t>4分；</w:t>
            </w:r>
            <w:r w:rsidRPr="00F3397C">
              <w:rPr>
                <w:rFonts w:ascii="宋体" w:eastAsia="宋体" w:hAnsi="宋体" w:cs="宋体" w:hint="eastAsia"/>
                <w:kern w:val="0"/>
                <w:sz w:val="24"/>
                <w:szCs w:val="24"/>
                <w:lang w:val="zh-CN"/>
              </w:rPr>
              <w:t>维护人员为建构筑中级操作员</w:t>
            </w:r>
            <w:r w:rsidRPr="00F3397C">
              <w:rPr>
                <w:rFonts w:ascii="宋体" w:eastAsia="宋体" w:hAnsi="宋体" w:cs="宋体" w:hint="eastAsia"/>
                <w:kern w:val="0"/>
                <w:sz w:val="24"/>
                <w:szCs w:val="24"/>
              </w:rPr>
              <w:t>2分；提供有效身份证和相应证书复印件；本项最多得4分。</w:t>
            </w:r>
          </w:p>
          <w:p w:rsidR="00BD7A6D" w:rsidRDefault="00F3397C">
            <w:pPr>
              <w:spacing w:line="360" w:lineRule="auto"/>
              <w:rPr>
                <w:rFonts w:ascii="宋体" w:eastAsia="宋体" w:hAnsi="宋体" w:cs="宋体"/>
                <w:sz w:val="24"/>
                <w:szCs w:val="24"/>
              </w:rPr>
            </w:pPr>
            <w:r w:rsidRPr="00F3397C">
              <w:rPr>
                <w:rFonts w:ascii="宋体" w:eastAsia="宋体" w:hAnsi="宋体" w:cs="宋体" w:hint="eastAsia"/>
                <w:kern w:val="0"/>
                <w:sz w:val="24"/>
                <w:szCs w:val="24"/>
              </w:rPr>
              <w:t>4.服务团队其他成员具有</w:t>
            </w:r>
            <w:r w:rsidRPr="00F3397C">
              <w:rPr>
                <w:rFonts w:ascii="宋体" w:eastAsia="宋体" w:hAnsi="宋体" w:cs="宋体" w:hint="eastAsia"/>
                <w:kern w:val="0"/>
                <w:sz w:val="24"/>
                <w:szCs w:val="24"/>
                <w:lang w:val="zh-CN"/>
              </w:rPr>
              <w:t>注册消防工程师、建构筑中级操作员</w:t>
            </w:r>
            <w:r w:rsidRPr="00F3397C">
              <w:rPr>
                <w:rFonts w:ascii="宋体" w:eastAsia="宋体" w:hAnsi="宋体" w:cs="宋体" w:hint="eastAsia"/>
                <w:kern w:val="0"/>
                <w:sz w:val="24"/>
                <w:szCs w:val="24"/>
              </w:rPr>
              <w:t>等相关专业技</w:t>
            </w:r>
            <w:r>
              <w:rPr>
                <w:rFonts w:ascii="宋体" w:eastAsia="宋体" w:hAnsi="宋体" w:cs="宋体" w:hint="eastAsia"/>
                <w:kern w:val="0"/>
                <w:sz w:val="24"/>
                <w:szCs w:val="24"/>
              </w:rPr>
              <w:t>术资格或职称证书，每有一人具有初级专业技术资格或职称证书得1分，每有一人具有中级专业技术资格或职称证书得2分，每有一人具有高级专业技术资格或职称证书得3分。本项最高得8分。</w:t>
            </w:r>
          </w:p>
          <w:p w:rsidR="00BD7A6D" w:rsidRDefault="00F3397C">
            <w:pPr>
              <w:spacing w:line="360" w:lineRule="auto"/>
              <w:rPr>
                <w:rFonts w:ascii="宋体" w:eastAsia="宋体" w:hAnsi="宋体" w:cs="宋体"/>
                <w:kern w:val="0"/>
                <w:sz w:val="24"/>
                <w:szCs w:val="24"/>
              </w:rPr>
            </w:pPr>
            <w:r>
              <w:rPr>
                <w:rFonts w:ascii="宋体" w:eastAsia="宋体" w:hAnsi="宋体" w:cs="宋体" w:hint="eastAsia"/>
                <w:kern w:val="0"/>
                <w:sz w:val="24"/>
                <w:szCs w:val="24"/>
              </w:rPr>
              <w:t>注：提供人员情况表，提供人员履历表，需包含人员从业年限、责任分工等内容，提供人员专业技术资格或职称证书复印件。</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共同</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sz w:val="24"/>
                <w:szCs w:val="24"/>
              </w:rPr>
              <w:t>评分因素</w:t>
            </w:r>
          </w:p>
        </w:tc>
      </w:tr>
      <w:tr w:rsidR="00BD7A6D">
        <w:trPr>
          <w:trHeight w:val="1366"/>
        </w:trPr>
        <w:tc>
          <w:tcPr>
            <w:tcW w:w="720"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0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履约</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能力</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w:t>
            </w:r>
          </w:p>
        </w:tc>
        <w:tc>
          <w:tcPr>
            <w:tcW w:w="955" w:type="dxa"/>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12分</w:t>
            </w:r>
          </w:p>
        </w:tc>
        <w:tc>
          <w:tcPr>
            <w:tcW w:w="4905" w:type="dxa"/>
            <w:vAlign w:val="center"/>
          </w:tcPr>
          <w:p w:rsidR="00BD7A6D" w:rsidRDefault="00F3397C">
            <w:pPr>
              <w:spacing w:line="360" w:lineRule="auto"/>
              <w:rPr>
                <w:rFonts w:ascii="宋体" w:eastAsia="宋体" w:hAnsi="宋体" w:cs="宋体"/>
                <w:kern w:val="0"/>
                <w:sz w:val="24"/>
                <w:szCs w:val="24"/>
              </w:rPr>
            </w:pPr>
            <w:r>
              <w:rPr>
                <w:rFonts w:ascii="宋体" w:eastAsia="宋体" w:hAnsi="宋体" w:cs="宋体" w:hint="eastAsia"/>
                <w:kern w:val="0"/>
                <w:sz w:val="24"/>
                <w:szCs w:val="24"/>
              </w:rPr>
              <w:t>投标人自</w:t>
            </w:r>
            <w:r w:rsidRPr="00F3397C">
              <w:rPr>
                <w:rFonts w:ascii="宋体" w:eastAsia="宋体" w:hAnsi="宋体" w:cs="宋体" w:hint="eastAsia"/>
                <w:kern w:val="0"/>
                <w:sz w:val="24"/>
                <w:szCs w:val="24"/>
              </w:rPr>
              <w:t>2021年</w:t>
            </w:r>
            <w:r>
              <w:rPr>
                <w:rFonts w:ascii="宋体" w:eastAsia="宋体" w:hAnsi="宋体" w:cs="宋体" w:hint="eastAsia"/>
                <w:kern w:val="0"/>
                <w:sz w:val="24"/>
                <w:szCs w:val="24"/>
              </w:rPr>
              <w:t>1月1日年以来，</w:t>
            </w:r>
            <w:proofErr w:type="gramStart"/>
            <w:r>
              <w:rPr>
                <w:rFonts w:ascii="宋体" w:eastAsia="宋体" w:hAnsi="宋体" w:cs="宋体" w:hint="eastAsia"/>
                <w:kern w:val="0"/>
                <w:sz w:val="24"/>
                <w:szCs w:val="24"/>
              </w:rPr>
              <w:t>每具有</w:t>
            </w:r>
            <w:proofErr w:type="gramEnd"/>
            <w:r>
              <w:rPr>
                <w:rFonts w:ascii="宋体" w:eastAsia="宋体" w:hAnsi="宋体" w:cs="宋体" w:hint="eastAsia"/>
                <w:kern w:val="0"/>
                <w:sz w:val="24"/>
                <w:szCs w:val="24"/>
              </w:rPr>
              <w:t>一个类似项目业绩得4分，最多得12</w:t>
            </w:r>
            <w:bookmarkStart w:id="0" w:name="_GoBack"/>
            <w:bookmarkEnd w:id="0"/>
            <w:r>
              <w:rPr>
                <w:rFonts w:ascii="宋体" w:eastAsia="宋体" w:hAnsi="宋体" w:cs="宋体" w:hint="eastAsia"/>
                <w:kern w:val="0"/>
                <w:sz w:val="24"/>
                <w:szCs w:val="24"/>
              </w:rPr>
              <w:t>分。</w:t>
            </w:r>
          </w:p>
          <w:p w:rsidR="00BD7A6D" w:rsidRDefault="00F3397C">
            <w:pPr>
              <w:spacing w:line="360" w:lineRule="auto"/>
              <w:rPr>
                <w:rFonts w:ascii="宋体" w:eastAsia="宋体" w:hAnsi="宋体" w:cs="宋体"/>
                <w:kern w:val="0"/>
                <w:sz w:val="24"/>
                <w:szCs w:val="24"/>
              </w:rPr>
            </w:pPr>
            <w:r>
              <w:rPr>
                <w:rFonts w:ascii="宋体" w:eastAsia="宋体" w:hAnsi="宋体" w:cs="宋体" w:hint="eastAsia"/>
                <w:kern w:val="0"/>
                <w:sz w:val="24"/>
                <w:szCs w:val="24"/>
              </w:rPr>
              <w:t>注：提供中标（成交）通知书或合同复印件。</w:t>
            </w:r>
          </w:p>
        </w:tc>
        <w:tc>
          <w:tcPr>
            <w:tcW w:w="1245" w:type="dxa"/>
            <w:vAlign w:val="center"/>
          </w:tcPr>
          <w:p w:rsidR="00BD7A6D" w:rsidRDefault="00F3397C">
            <w:pPr>
              <w:spacing w:line="360" w:lineRule="auto"/>
              <w:jc w:val="center"/>
              <w:rPr>
                <w:rFonts w:ascii="宋体" w:eastAsia="宋体" w:hAnsi="宋体" w:cs="宋体"/>
                <w:sz w:val="24"/>
                <w:szCs w:val="24"/>
              </w:rPr>
            </w:pPr>
            <w:r>
              <w:rPr>
                <w:rFonts w:ascii="宋体" w:eastAsia="宋体" w:hAnsi="宋体" w:cs="宋体" w:hint="eastAsia"/>
                <w:sz w:val="24"/>
                <w:szCs w:val="24"/>
              </w:rPr>
              <w:t>共同</w:t>
            </w:r>
          </w:p>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sz w:val="24"/>
                <w:szCs w:val="24"/>
              </w:rPr>
              <w:t>评分因素</w:t>
            </w:r>
          </w:p>
        </w:tc>
      </w:tr>
      <w:tr w:rsidR="00BD7A6D">
        <w:trPr>
          <w:trHeight w:val="452"/>
        </w:trPr>
        <w:tc>
          <w:tcPr>
            <w:tcW w:w="1775" w:type="dxa"/>
            <w:gridSpan w:val="2"/>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w:t>
            </w:r>
          </w:p>
        </w:tc>
        <w:tc>
          <w:tcPr>
            <w:tcW w:w="7105" w:type="dxa"/>
            <w:gridSpan w:val="3"/>
            <w:vAlign w:val="center"/>
          </w:tcPr>
          <w:p w:rsidR="00BD7A6D" w:rsidRDefault="00F3397C">
            <w:pPr>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100分</w:t>
            </w:r>
          </w:p>
        </w:tc>
      </w:tr>
    </w:tbl>
    <w:p w:rsidR="00BD7A6D" w:rsidRDefault="00F3397C">
      <w:pPr>
        <w:rPr>
          <w:rFonts w:ascii="宋体" w:eastAsia="宋体" w:hAnsi="宋体"/>
        </w:rPr>
      </w:pPr>
      <w:r>
        <w:rPr>
          <w:rFonts w:ascii="宋体" w:eastAsia="宋体" w:hAnsi="宋体" w:cs="仿宋_GB2312" w:hint="eastAsia"/>
          <w:szCs w:val="21"/>
        </w:rPr>
        <w:t>注：评分标准中要求提供证明材料的，均须加盖投标人公章。</w:t>
      </w:r>
    </w:p>
    <w:p w:rsidR="00BD7A6D" w:rsidRDefault="00BD7A6D">
      <w:pPr>
        <w:rPr>
          <w:rFonts w:ascii="宋体" w:eastAsia="宋体" w:hAnsi="宋体"/>
          <w:szCs w:val="21"/>
        </w:rPr>
      </w:pPr>
    </w:p>
    <w:p w:rsidR="00BD7A6D" w:rsidRDefault="00F3397C">
      <w:pPr>
        <w:tabs>
          <w:tab w:val="left" w:pos="795"/>
        </w:tabs>
        <w:jc w:val="left"/>
        <w:rPr>
          <w:rFonts w:ascii="宋体" w:eastAsia="宋体" w:hAnsi="宋体"/>
        </w:rPr>
      </w:pPr>
      <w:r>
        <w:rPr>
          <w:rFonts w:ascii="宋体" w:eastAsia="宋体" w:hAnsi="宋体" w:hint="eastAsia"/>
        </w:rPr>
        <w:tab/>
      </w:r>
    </w:p>
    <w:sectPr w:rsidR="00BD7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kN2E3MzgwY2ZjMGUzNDBjYmRiZjc1ZDYxYmM1MGQifQ=="/>
  </w:docVars>
  <w:rsids>
    <w:rsidRoot w:val="00794A96"/>
    <w:rsid w:val="0004353F"/>
    <w:rsid w:val="00046E89"/>
    <w:rsid w:val="002077A5"/>
    <w:rsid w:val="00337EC3"/>
    <w:rsid w:val="003B35D2"/>
    <w:rsid w:val="003F0BFE"/>
    <w:rsid w:val="004970D4"/>
    <w:rsid w:val="004D1F01"/>
    <w:rsid w:val="005B27D6"/>
    <w:rsid w:val="0072420A"/>
    <w:rsid w:val="00794A96"/>
    <w:rsid w:val="009A011A"/>
    <w:rsid w:val="00A717BA"/>
    <w:rsid w:val="00B23864"/>
    <w:rsid w:val="00B310EE"/>
    <w:rsid w:val="00BD7A6D"/>
    <w:rsid w:val="00BE3EAB"/>
    <w:rsid w:val="00C87B0F"/>
    <w:rsid w:val="00D1624E"/>
    <w:rsid w:val="00DC7CF2"/>
    <w:rsid w:val="00E47C26"/>
    <w:rsid w:val="00ED16DE"/>
    <w:rsid w:val="00F3397C"/>
    <w:rsid w:val="00F41A2A"/>
    <w:rsid w:val="120F388D"/>
    <w:rsid w:val="14FF222F"/>
    <w:rsid w:val="17445C06"/>
    <w:rsid w:val="1B36086D"/>
    <w:rsid w:val="63C52685"/>
    <w:rsid w:val="719E7DBF"/>
    <w:rsid w:val="7AE1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CAB3"/>
  <w15:docId w15:val="{F8ACCBD1-5C19-4CB9-92C7-D3D7F9E7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360" w:lineRule="auto"/>
      <w:jc w:val="center"/>
    </w:pPr>
    <w:rPr>
      <w:rFonts w:ascii="宋体" w:hAnsi="宋体"/>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qFormat/>
    <w:rPr>
      <w:sz w:val="18"/>
      <w:szCs w:val="18"/>
    </w:rPr>
  </w:style>
  <w:style w:type="paragraph" w:customStyle="1" w:styleId="WPSOffice1">
    <w:name w:val="WPSOffice手动目录 1"/>
    <w:qFormat/>
    <w:rPr>
      <w:rFonts w:ascii="Times New Roman" w:eastAsia="宋体" w:hAnsi="Times New Roman" w:cs="Times New Roman"/>
    </w:rPr>
  </w:style>
  <w:style w:type="paragraph" w:styleId="a9">
    <w:name w:val="List Paragraph"/>
    <w:basedOn w:val="a"/>
    <w:uiPriority w:val="34"/>
    <w:qFormat/>
    <w:pPr>
      <w:ind w:firstLineChars="200" w:firstLine="420"/>
    </w:pPr>
  </w:style>
  <w:style w:type="paragraph" w:customStyle="1" w:styleId="2">
    <w:name w:val="正文2"/>
    <w:next w:val="a"/>
    <w:qFormat/>
    <w:pPr>
      <w:widowControl w:val="0"/>
      <w:tabs>
        <w:tab w:val="left" w:pos="0"/>
        <w:tab w:val="left" w:pos="1134"/>
        <w:tab w:val="left" w:pos="8505"/>
      </w:tabs>
      <w:adjustRightInd w:val="0"/>
      <w:spacing w:before="60" w:after="60" w:line="360" w:lineRule="atLeast"/>
      <w:ind w:left="1134" w:hanging="1134"/>
      <w:jc w:val="both"/>
      <w:textAlignment w:val="baseline"/>
    </w:pPr>
    <w:rPr>
      <w:rFonts w:ascii="Arial" w:eastAsia="宋体"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157</Words>
  <Characters>895</Characters>
  <Application>Microsoft Office Word</Application>
  <DocSecurity>0</DocSecurity>
  <Lines>7</Lines>
  <Paragraphs>2</Paragraphs>
  <ScaleCrop>false</ScaleCrop>
  <Company>P R C</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916096710@qq.com</dc:creator>
  <cp:lastModifiedBy>四川大学华西医院</cp:lastModifiedBy>
  <cp:revision>4</cp:revision>
  <dcterms:created xsi:type="dcterms:W3CDTF">2023-08-22T03:34:00Z</dcterms:created>
  <dcterms:modified xsi:type="dcterms:W3CDTF">2023-08-23T06:06:00Z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DD505C7BCB2345B08CFF39467C09289F</vt:lpwstr>
  </property>
</Properties>
</file>