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5B7E" w14:textId="77777777" w:rsidR="00BD7A6D" w:rsidRDefault="00F3397C">
      <w:pPr>
        <w:pStyle w:val="WPSOffice1"/>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14:paraId="2DC18A3E" w14:textId="77777777" w:rsidR="00435ABE" w:rsidRPr="00510A45" w:rsidRDefault="00435ABE" w:rsidP="00435ABE">
      <w:pPr>
        <w:jc w:val="center"/>
        <w:outlineLvl w:val="1"/>
        <w:rPr>
          <w:rFonts w:ascii="方正小标宋简体" w:eastAsia="方正小标宋简体" w:hAnsi="仿宋" w:cs="仿宋"/>
          <w:sz w:val="36"/>
          <w:szCs w:val="36"/>
        </w:rPr>
      </w:pPr>
      <w:r w:rsidRPr="00510A45">
        <w:rPr>
          <w:rFonts w:ascii="方正小标宋简体" w:eastAsia="方正小标宋简体" w:hAnsi="仿宋" w:cs="仿宋" w:hint="eastAsia"/>
          <w:sz w:val="36"/>
          <w:szCs w:val="36"/>
        </w:rPr>
        <w:t>综合评分明细表</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311"/>
        <w:gridCol w:w="835"/>
        <w:gridCol w:w="4179"/>
        <w:gridCol w:w="1664"/>
      </w:tblGrid>
      <w:tr w:rsidR="00435ABE" w14:paraId="16652ED7" w14:textId="77777777" w:rsidTr="00841CB0">
        <w:trPr>
          <w:trHeight w:val="274"/>
          <w:tblHeader/>
          <w:jc w:val="center"/>
        </w:trPr>
        <w:tc>
          <w:tcPr>
            <w:tcW w:w="349" w:type="pct"/>
            <w:vAlign w:val="center"/>
          </w:tcPr>
          <w:p w14:paraId="74E1276A" w14:textId="77777777" w:rsidR="00435ABE" w:rsidRPr="00C05783" w:rsidRDefault="00435ABE" w:rsidP="00841CB0">
            <w:pPr>
              <w:jc w:val="center"/>
              <w:rPr>
                <w:rFonts w:ascii="黑体" w:eastAsia="黑体" w:hAnsi="黑体"/>
                <w:b/>
                <w:sz w:val="21"/>
                <w:szCs w:val="21"/>
              </w:rPr>
            </w:pPr>
            <w:r w:rsidRPr="00C05783">
              <w:rPr>
                <w:rFonts w:ascii="黑体" w:eastAsia="黑体" w:hAnsi="黑体" w:hint="eastAsia"/>
                <w:b/>
                <w:sz w:val="21"/>
                <w:szCs w:val="21"/>
              </w:rPr>
              <w:t>序号</w:t>
            </w:r>
          </w:p>
        </w:tc>
        <w:tc>
          <w:tcPr>
            <w:tcW w:w="763" w:type="pct"/>
            <w:vAlign w:val="center"/>
          </w:tcPr>
          <w:p w14:paraId="7CB204DD" w14:textId="77777777" w:rsidR="00435ABE" w:rsidRPr="00C05783" w:rsidRDefault="00435ABE" w:rsidP="00841CB0">
            <w:pPr>
              <w:jc w:val="center"/>
              <w:rPr>
                <w:rFonts w:ascii="黑体" w:eastAsia="黑体" w:hAnsi="黑体"/>
                <w:b/>
                <w:sz w:val="21"/>
                <w:szCs w:val="21"/>
              </w:rPr>
            </w:pPr>
            <w:r w:rsidRPr="00C05783">
              <w:rPr>
                <w:rFonts w:ascii="黑体" w:eastAsia="黑体" w:hAnsi="黑体" w:hint="eastAsia"/>
                <w:b/>
                <w:sz w:val="21"/>
                <w:szCs w:val="21"/>
              </w:rPr>
              <w:t>评分因素及权重</w:t>
            </w:r>
          </w:p>
        </w:tc>
        <w:tc>
          <w:tcPr>
            <w:tcW w:w="486" w:type="pct"/>
            <w:vAlign w:val="center"/>
          </w:tcPr>
          <w:p w14:paraId="5471A020" w14:textId="77777777" w:rsidR="00435ABE" w:rsidRPr="00C05783" w:rsidRDefault="00435ABE" w:rsidP="00841CB0">
            <w:pPr>
              <w:jc w:val="center"/>
              <w:rPr>
                <w:rFonts w:ascii="黑体" w:eastAsia="黑体" w:hAnsi="黑体"/>
                <w:b/>
                <w:sz w:val="21"/>
                <w:szCs w:val="21"/>
              </w:rPr>
            </w:pPr>
            <w:r w:rsidRPr="00C05783">
              <w:rPr>
                <w:rFonts w:ascii="黑体" w:eastAsia="黑体" w:hAnsi="黑体" w:hint="eastAsia"/>
                <w:b/>
                <w:sz w:val="21"/>
                <w:szCs w:val="21"/>
              </w:rPr>
              <w:t>分值</w:t>
            </w:r>
          </w:p>
        </w:tc>
        <w:tc>
          <w:tcPr>
            <w:tcW w:w="2433" w:type="pct"/>
            <w:vAlign w:val="center"/>
          </w:tcPr>
          <w:p w14:paraId="2618BF9F" w14:textId="77777777" w:rsidR="00435ABE" w:rsidRPr="00C05783" w:rsidRDefault="00435ABE" w:rsidP="00841CB0">
            <w:pPr>
              <w:jc w:val="center"/>
              <w:rPr>
                <w:rFonts w:ascii="黑体" w:eastAsia="黑体" w:hAnsi="黑体"/>
                <w:b/>
                <w:sz w:val="21"/>
                <w:szCs w:val="21"/>
              </w:rPr>
            </w:pPr>
            <w:r w:rsidRPr="00C05783">
              <w:rPr>
                <w:rFonts w:ascii="黑体" w:eastAsia="黑体" w:hAnsi="黑体" w:hint="eastAsia"/>
                <w:b/>
                <w:sz w:val="21"/>
                <w:szCs w:val="21"/>
              </w:rPr>
              <w:t>评分标准</w:t>
            </w:r>
          </w:p>
        </w:tc>
        <w:tc>
          <w:tcPr>
            <w:tcW w:w="969" w:type="pct"/>
            <w:vAlign w:val="center"/>
          </w:tcPr>
          <w:p w14:paraId="1E7C01FE" w14:textId="77777777" w:rsidR="00435ABE" w:rsidRPr="00C05783" w:rsidRDefault="00435ABE" w:rsidP="00841CB0">
            <w:pPr>
              <w:jc w:val="center"/>
              <w:rPr>
                <w:rFonts w:ascii="黑体" w:eastAsia="黑体" w:hAnsi="黑体"/>
                <w:b/>
                <w:sz w:val="21"/>
                <w:szCs w:val="21"/>
              </w:rPr>
            </w:pPr>
            <w:r w:rsidRPr="00C05783">
              <w:rPr>
                <w:rFonts w:ascii="黑体" w:eastAsia="黑体" w:hAnsi="黑体" w:hint="eastAsia"/>
                <w:sz w:val="21"/>
                <w:szCs w:val="21"/>
              </w:rPr>
              <w:t>说明</w:t>
            </w:r>
          </w:p>
        </w:tc>
      </w:tr>
      <w:tr w:rsidR="00435ABE" w14:paraId="3D39DBF3" w14:textId="77777777" w:rsidTr="00841CB0">
        <w:trPr>
          <w:trHeight w:val="893"/>
          <w:jc w:val="center"/>
        </w:trPr>
        <w:tc>
          <w:tcPr>
            <w:tcW w:w="349" w:type="pct"/>
            <w:vAlign w:val="center"/>
          </w:tcPr>
          <w:p w14:paraId="42C29F1C"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1</w:t>
            </w:r>
          </w:p>
        </w:tc>
        <w:tc>
          <w:tcPr>
            <w:tcW w:w="763" w:type="pct"/>
            <w:vAlign w:val="center"/>
          </w:tcPr>
          <w:p w14:paraId="3F5EC712"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报价30%</w:t>
            </w:r>
          </w:p>
        </w:tc>
        <w:tc>
          <w:tcPr>
            <w:tcW w:w="486" w:type="pct"/>
            <w:vAlign w:val="center"/>
          </w:tcPr>
          <w:p w14:paraId="3207C579"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30分</w:t>
            </w:r>
          </w:p>
        </w:tc>
        <w:tc>
          <w:tcPr>
            <w:tcW w:w="2433" w:type="pct"/>
            <w:vAlign w:val="center"/>
          </w:tcPr>
          <w:p w14:paraId="6F2F74D1" w14:textId="77777777" w:rsidR="00435ABE" w:rsidRPr="00C05783" w:rsidRDefault="00435ABE" w:rsidP="00841CB0">
            <w:pPr>
              <w:jc w:val="left"/>
              <w:rPr>
                <w:rFonts w:ascii="仿宋_GB2312" w:eastAsia="仿宋_GB2312" w:hAnsi="宋体"/>
                <w:sz w:val="21"/>
                <w:szCs w:val="21"/>
              </w:rPr>
            </w:pPr>
            <w:r w:rsidRPr="00C05783">
              <w:rPr>
                <w:rFonts w:ascii="仿宋_GB2312" w:eastAsia="仿宋_GB2312" w:hAnsi="宋体" w:hint="eastAsia"/>
                <w:sz w:val="21"/>
                <w:szCs w:val="21"/>
              </w:rPr>
              <w:t>供应商对券面基准金额（</w:t>
            </w:r>
            <w:r w:rsidRPr="009168D4">
              <w:rPr>
                <w:rFonts w:ascii="微软雅黑" w:eastAsia="微软雅黑" w:hAnsi="微软雅黑" w:cs="微软雅黑" w:hint="eastAsia"/>
                <w:sz w:val="21"/>
                <w:szCs w:val="21"/>
              </w:rPr>
              <w:t>劵</w:t>
            </w:r>
            <w:r w:rsidRPr="00C05783">
              <w:rPr>
                <w:rFonts w:ascii="仿宋_GB2312" w:eastAsia="仿宋_GB2312" w:hAnsi="仿宋_GB2312" w:cs="仿宋_GB2312" w:hint="eastAsia"/>
                <w:sz w:val="21"/>
                <w:szCs w:val="21"/>
              </w:rPr>
              <w:t>面基准金额</w:t>
            </w:r>
            <w:r w:rsidRPr="00C05783">
              <w:rPr>
                <w:rFonts w:ascii="仿宋_GB2312" w:eastAsia="仿宋_GB2312" w:hAnsi="宋体" w:hint="eastAsia"/>
                <w:sz w:val="21"/>
                <w:szCs w:val="21"/>
              </w:rPr>
              <w:t xml:space="preserve"> ）进行上浮比例报价，满足磋商文件要求且投标报价最高的投标报价为评审基准价，其价格分为满分。</w:t>
            </w:r>
          </w:p>
          <w:p w14:paraId="0AA1692B" w14:textId="77777777" w:rsidR="00435ABE" w:rsidRPr="00C05783" w:rsidRDefault="00435ABE" w:rsidP="00841CB0">
            <w:pPr>
              <w:jc w:val="left"/>
              <w:rPr>
                <w:rFonts w:ascii="仿宋_GB2312" w:eastAsia="仿宋_GB2312" w:hAnsi="宋体"/>
                <w:sz w:val="21"/>
                <w:szCs w:val="21"/>
              </w:rPr>
            </w:pPr>
            <w:r w:rsidRPr="00C05783">
              <w:rPr>
                <w:rFonts w:ascii="仿宋_GB2312" w:eastAsia="仿宋_GB2312" w:hAnsi="宋体" w:hint="eastAsia"/>
                <w:sz w:val="21"/>
                <w:szCs w:val="21"/>
              </w:rPr>
              <w:t>其他供应商的价格分统一按照下列公式计算：</w:t>
            </w:r>
          </w:p>
          <w:p w14:paraId="6D4C582E" w14:textId="77777777" w:rsidR="00435ABE" w:rsidRPr="00C05783" w:rsidRDefault="00435ABE" w:rsidP="00841CB0">
            <w:pPr>
              <w:jc w:val="left"/>
              <w:rPr>
                <w:rFonts w:ascii="仿宋_GB2312" w:eastAsia="仿宋_GB2312" w:hAnsi="宋体"/>
                <w:sz w:val="21"/>
                <w:szCs w:val="21"/>
              </w:rPr>
            </w:pPr>
            <w:r w:rsidRPr="00C05783">
              <w:rPr>
                <w:rFonts w:ascii="仿宋_GB2312" w:eastAsia="仿宋_GB2312" w:hAnsi="宋体" w:hint="eastAsia"/>
                <w:sz w:val="21"/>
                <w:szCs w:val="21"/>
              </w:rPr>
              <w:t>投标报价得分=（投标报价／评审基准价）×价格权重×100。</w:t>
            </w:r>
          </w:p>
          <w:p w14:paraId="24DFDA71" w14:textId="77777777" w:rsidR="00435ABE" w:rsidRPr="00C05783" w:rsidRDefault="00435ABE" w:rsidP="00841CB0">
            <w:pPr>
              <w:jc w:val="left"/>
              <w:rPr>
                <w:rFonts w:ascii="仿宋_GB2312" w:eastAsia="仿宋_GB2312" w:hAnsi="宋体"/>
                <w:sz w:val="21"/>
                <w:szCs w:val="21"/>
              </w:rPr>
            </w:pPr>
            <w:r w:rsidRPr="00C05783">
              <w:rPr>
                <w:rFonts w:ascii="仿宋_GB2312" w:eastAsia="仿宋_GB2312" w:hAnsi="宋体" w:hint="eastAsia"/>
                <w:sz w:val="21"/>
                <w:szCs w:val="21"/>
              </w:rPr>
              <w:t>注：1、投标报价=基础金额*（1+上浮比例）。</w:t>
            </w:r>
          </w:p>
        </w:tc>
        <w:tc>
          <w:tcPr>
            <w:tcW w:w="969" w:type="pct"/>
            <w:vAlign w:val="center"/>
          </w:tcPr>
          <w:p w14:paraId="3ACBF319"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kern w:val="0"/>
                <w:sz w:val="21"/>
                <w:szCs w:val="21"/>
              </w:rPr>
              <w:t>共同类评分因素</w:t>
            </w:r>
          </w:p>
        </w:tc>
      </w:tr>
      <w:tr w:rsidR="00435ABE" w14:paraId="2CD0FBEF" w14:textId="77777777" w:rsidTr="00841CB0">
        <w:trPr>
          <w:trHeight w:val="285"/>
          <w:jc w:val="center"/>
        </w:trPr>
        <w:tc>
          <w:tcPr>
            <w:tcW w:w="349" w:type="pct"/>
            <w:vAlign w:val="center"/>
          </w:tcPr>
          <w:p w14:paraId="6FB7D942"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2</w:t>
            </w:r>
          </w:p>
        </w:tc>
        <w:tc>
          <w:tcPr>
            <w:tcW w:w="763" w:type="pct"/>
            <w:vAlign w:val="center"/>
          </w:tcPr>
          <w:p w14:paraId="7B16ACF6"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其他要求15%</w:t>
            </w:r>
          </w:p>
        </w:tc>
        <w:tc>
          <w:tcPr>
            <w:tcW w:w="486" w:type="pct"/>
            <w:vAlign w:val="center"/>
          </w:tcPr>
          <w:p w14:paraId="2FF66077"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15分</w:t>
            </w:r>
          </w:p>
        </w:tc>
        <w:tc>
          <w:tcPr>
            <w:tcW w:w="2433" w:type="pct"/>
            <w:vAlign w:val="center"/>
          </w:tcPr>
          <w:p w14:paraId="19DF7BE4" w14:textId="41014D2B" w:rsidR="00435ABE" w:rsidRPr="00C05783" w:rsidRDefault="00435ABE" w:rsidP="00435ABE">
            <w:pPr>
              <w:pStyle w:val="a0"/>
              <w:numPr>
                <w:ilvl w:val="0"/>
                <w:numId w:val="1"/>
              </w:numPr>
              <w:spacing w:after="120" w:line="240" w:lineRule="auto"/>
              <w:jc w:val="both"/>
              <w:rPr>
                <w:rFonts w:ascii="仿宋_GB2312" w:eastAsia="仿宋_GB2312"/>
                <w:sz w:val="21"/>
              </w:rPr>
            </w:pPr>
            <w:r w:rsidRPr="00C05783">
              <w:rPr>
                <w:rFonts w:ascii="仿宋_GB2312" w:eastAsia="仿宋_GB2312" w:hint="eastAsia"/>
                <w:sz w:val="21"/>
              </w:rPr>
              <w:t>供应商店面至采购人单位直线距离五公里以内且乘坐公共交通在一小时以内的</w:t>
            </w:r>
            <w:r w:rsidR="00070743">
              <w:rPr>
                <w:rFonts w:ascii="仿宋_GB2312" w:eastAsia="仿宋_GB2312" w:hint="eastAsia"/>
                <w:sz w:val="21"/>
              </w:rPr>
              <w:t>得</w:t>
            </w:r>
            <w:r w:rsidRPr="00C05783">
              <w:rPr>
                <w:rFonts w:ascii="仿宋_GB2312" w:eastAsia="仿宋_GB2312" w:hint="eastAsia"/>
                <w:sz w:val="21"/>
              </w:rPr>
              <w:t>5分；供应商店面至采购人单位直线距离十公里以内且乘坐公共交通在一小时三十分钟以内的</w:t>
            </w:r>
            <w:r w:rsidR="00070743">
              <w:rPr>
                <w:rFonts w:ascii="仿宋_GB2312" w:eastAsia="仿宋_GB2312" w:hint="eastAsia"/>
                <w:sz w:val="21"/>
              </w:rPr>
              <w:t>得</w:t>
            </w:r>
            <w:r w:rsidRPr="00C05783">
              <w:rPr>
                <w:rFonts w:ascii="仿宋_GB2312" w:eastAsia="仿宋_GB2312" w:hint="eastAsia"/>
                <w:sz w:val="21"/>
              </w:rPr>
              <w:t>2分；其余不</w:t>
            </w:r>
            <w:r w:rsidR="00070743">
              <w:rPr>
                <w:rFonts w:ascii="仿宋_GB2312" w:eastAsia="仿宋_GB2312" w:hint="eastAsia"/>
                <w:sz w:val="21"/>
              </w:rPr>
              <w:t>得</w:t>
            </w:r>
            <w:r w:rsidRPr="00C05783">
              <w:rPr>
                <w:rFonts w:ascii="仿宋_GB2312" w:eastAsia="仿宋_GB2312" w:hint="eastAsia"/>
                <w:sz w:val="21"/>
              </w:rPr>
              <w:t>分，本项最多</w:t>
            </w:r>
            <w:r w:rsidR="00070743">
              <w:rPr>
                <w:rFonts w:ascii="仿宋_GB2312" w:eastAsia="仿宋_GB2312" w:hint="eastAsia"/>
                <w:sz w:val="21"/>
              </w:rPr>
              <w:t>得</w:t>
            </w:r>
            <w:r w:rsidRPr="00C05783">
              <w:rPr>
                <w:rFonts w:ascii="仿宋_GB2312" w:eastAsia="仿宋_GB2312" w:hint="eastAsia"/>
                <w:sz w:val="21"/>
              </w:rPr>
              <w:t>5分。</w:t>
            </w:r>
          </w:p>
          <w:p w14:paraId="2DA09852" w14:textId="1898AB5B" w:rsidR="00435ABE" w:rsidRPr="00C05783" w:rsidRDefault="00435ABE" w:rsidP="00841CB0">
            <w:pPr>
              <w:numPr>
                <w:ilvl w:val="0"/>
                <w:numId w:val="1"/>
              </w:numPr>
              <w:rPr>
                <w:rFonts w:ascii="仿宋_GB2312" w:eastAsia="仿宋_GB2312"/>
                <w:sz w:val="21"/>
                <w:szCs w:val="21"/>
              </w:rPr>
            </w:pPr>
            <w:r w:rsidRPr="00C05783">
              <w:rPr>
                <w:rFonts w:ascii="仿宋_GB2312" w:eastAsia="仿宋_GB2312" w:hint="eastAsia"/>
                <w:sz w:val="21"/>
                <w:szCs w:val="21"/>
              </w:rPr>
              <w:t>供应商为网络服务平台的，需呈现配送物流链条完整性，省内可</w:t>
            </w:r>
            <w:r w:rsidR="00FE2DDB">
              <w:rPr>
                <w:rFonts w:ascii="仿宋_GB2312" w:eastAsia="仿宋_GB2312" w:hint="eastAsia"/>
                <w:sz w:val="21"/>
                <w:szCs w:val="21"/>
              </w:rPr>
              <w:t>免费</w:t>
            </w:r>
            <w:r w:rsidRPr="00C05783">
              <w:rPr>
                <w:rFonts w:ascii="仿宋_GB2312" w:eastAsia="仿宋_GB2312" w:hint="eastAsia"/>
                <w:sz w:val="21"/>
                <w:szCs w:val="21"/>
              </w:rPr>
              <w:t>配送到家的</w:t>
            </w:r>
            <w:r w:rsidR="00070743">
              <w:rPr>
                <w:rFonts w:ascii="仿宋_GB2312" w:eastAsia="仿宋_GB2312" w:hint="eastAsia"/>
                <w:sz w:val="21"/>
                <w:szCs w:val="21"/>
              </w:rPr>
              <w:t>得</w:t>
            </w:r>
            <w:r w:rsidRPr="00C05783">
              <w:rPr>
                <w:rFonts w:ascii="仿宋_GB2312" w:eastAsia="仿宋_GB2312" w:hint="eastAsia"/>
                <w:sz w:val="21"/>
                <w:szCs w:val="21"/>
              </w:rPr>
              <w:t>5分；配送仅限于大成都范围的</w:t>
            </w:r>
            <w:r w:rsidR="00070743">
              <w:rPr>
                <w:rFonts w:ascii="仿宋_GB2312" w:eastAsia="仿宋_GB2312" w:hint="eastAsia"/>
                <w:sz w:val="21"/>
                <w:szCs w:val="21"/>
              </w:rPr>
              <w:t>得</w:t>
            </w:r>
            <w:r w:rsidRPr="00C05783">
              <w:rPr>
                <w:rFonts w:ascii="仿宋_GB2312" w:eastAsia="仿宋_GB2312" w:hint="eastAsia"/>
                <w:sz w:val="21"/>
                <w:szCs w:val="21"/>
              </w:rPr>
              <w:t>3分，本项最多</w:t>
            </w:r>
            <w:r w:rsidR="00070743">
              <w:rPr>
                <w:rFonts w:ascii="仿宋_GB2312" w:eastAsia="仿宋_GB2312" w:hint="eastAsia"/>
                <w:sz w:val="21"/>
                <w:szCs w:val="21"/>
              </w:rPr>
              <w:t>得</w:t>
            </w:r>
            <w:r w:rsidRPr="00C05783">
              <w:rPr>
                <w:rFonts w:ascii="仿宋_GB2312" w:eastAsia="仿宋_GB2312" w:hint="eastAsia"/>
                <w:sz w:val="21"/>
                <w:szCs w:val="21"/>
              </w:rPr>
              <w:t>5分。</w:t>
            </w:r>
          </w:p>
          <w:p w14:paraId="05004800" w14:textId="5BCC155D" w:rsidR="00435ABE" w:rsidRPr="00C05783" w:rsidRDefault="00435ABE" w:rsidP="00841CB0">
            <w:pPr>
              <w:rPr>
                <w:rFonts w:ascii="仿宋_GB2312" w:eastAsia="仿宋_GB2312"/>
                <w:sz w:val="21"/>
                <w:szCs w:val="21"/>
              </w:rPr>
            </w:pPr>
            <w:r w:rsidRPr="00C05783">
              <w:rPr>
                <w:rFonts w:ascii="仿宋_GB2312" w:eastAsia="仿宋_GB2312" w:hint="eastAsia"/>
                <w:sz w:val="21"/>
                <w:szCs w:val="21"/>
              </w:rPr>
              <w:t>3、供应商投标时承诺为采购人提供定制化线上商城的</w:t>
            </w:r>
            <w:r w:rsidR="00070743">
              <w:rPr>
                <w:rFonts w:ascii="仿宋_GB2312" w:eastAsia="仿宋_GB2312" w:hint="eastAsia"/>
                <w:sz w:val="21"/>
                <w:szCs w:val="21"/>
              </w:rPr>
              <w:t>得</w:t>
            </w:r>
            <w:r w:rsidRPr="00C05783">
              <w:rPr>
                <w:rFonts w:ascii="仿宋_GB2312" w:eastAsia="仿宋_GB2312" w:hint="eastAsia"/>
                <w:sz w:val="21"/>
                <w:szCs w:val="21"/>
              </w:rPr>
              <w:t>5分。（供应商在投标时承诺成交后在规定时间内完成定制化线上商城的程序）本项最多得5分。</w:t>
            </w:r>
          </w:p>
        </w:tc>
        <w:tc>
          <w:tcPr>
            <w:tcW w:w="969" w:type="pct"/>
            <w:vAlign w:val="center"/>
          </w:tcPr>
          <w:p w14:paraId="76D6E30A" w14:textId="77777777" w:rsidR="00435ABE" w:rsidRPr="00C05783" w:rsidRDefault="00435ABE" w:rsidP="00841CB0">
            <w:pPr>
              <w:spacing w:line="276" w:lineRule="auto"/>
              <w:jc w:val="center"/>
              <w:rPr>
                <w:rFonts w:ascii="仿宋_GB2312" w:eastAsia="仿宋_GB2312" w:hAnsi="宋体"/>
                <w:sz w:val="21"/>
                <w:szCs w:val="21"/>
              </w:rPr>
            </w:pPr>
            <w:r w:rsidRPr="00C05783">
              <w:rPr>
                <w:rFonts w:ascii="仿宋_GB2312" w:eastAsia="仿宋_GB2312" w:hAnsi="宋体" w:hint="eastAsia"/>
                <w:sz w:val="21"/>
                <w:szCs w:val="21"/>
              </w:rPr>
              <w:t>技术类评分因素</w:t>
            </w:r>
          </w:p>
        </w:tc>
      </w:tr>
      <w:tr w:rsidR="00435ABE" w14:paraId="0226BA73" w14:textId="77777777" w:rsidTr="00841CB0">
        <w:trPr>
          <w:trHeight w:val="285"/>
          <w:jc w:val="center"/>
        </w:trPr>
        <w:tc>
          <w:tcPr>
            <w:tcW w:w="349" w:type="pct"/>
            <w:vAlign w:val="center"/>
          </w:tcPr>
          <w:p w14:paraId="685DB8B1"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3</w:t>
            </w:r>
          </w:p>
        </w:tc>
        <w:tc>
          <w:tcPr>
            <w:tcW w:w="763" w:type="pct"/>
            <w:vAlign w:val="center"/>
          </w:tcPr>
          <w:p w14:paraId="6E835955"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综合体验45%</w:t>
            </w:r>
          </w:p>
        </w:tc>
        <w:tc>
          <w:tcPr>
            <w:tcW w:w="486" w:type="pct"/>
            <w:vAlign w:val="center"/>
          </w:tcPr>
          <w:p w14:paraId="4006F575"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45分</w:t>
            </w:r>
          </w:p>
        </w:tc>
        <w:tc>
          <w:tcPr>
            <w:tcW w:w="2433" w:type="pct"/>
            <w:vAlign w:val="center"/>
          </w:tcPr>
          <w:p w14:paraId="660372C7" w14:textId="67ABCB3B" w:rsidR="00435ABE" w:rsidRPr="00C05783" w:rsidRDefault="00435ABE" w:rsidP="0003560E">
            <w:pPr>
              <w:pStyle w:val="a0"/>
              <w:spacing w:line="276" w:lineRule="auto"/>
              <w:jc w:val="both"/>
              <w:rPr>
                <w:rFonts w:ascii="仿宋_GB2312" w:eastAsia="仿宋_GB2312"/>
                <w:sz w:val="21"/>
              </w:rPr>
            </w:pPr>
            <w:r w:rsidRPr="00C05783">
              <w:rPr>
                <w:rFonts w:ascii="仿宋_GB2312" w:eastAsia="仿宋_GB2312" w:hint="eastAsia"/>
                <w:sz w:val="21"/>
              </w:rPr>
              <w:t>根据采购需求，供应商提供1-2种蛋糕试吃品，5-8种小点心类试吃品，如果没有提供则此项不得分，每种试吃品的整体满分为5分，组成分项：外观精致美观得分</w:t>
            </w:r>
            <w:r w:rsidR="008A68AF">
              <w:rPr>
                <w:rFonts w:ascii="仿宋_GB2312" w:eastAsia="仿宋_GB2312"/>
                <w:sz w:val="21"/>
              </w:rPr>
              <w:t>2</w:t>
            </w:r>
            <w:r w:rsidRPr="00C05783">
              <w:rPr>
                <w:rFonts w:ascii="仿宋_GB2312" w:eastAsia="仿宋_GB2312" w:hint="eastAsia"/>
                <w:sz w:val="21"/>
              </w:rPr>
              <w:t>，配料表干净健康得分为2，口感风味得分</w:t>
            </w:r>
            <w:r w:rsidR="008A68AF">
              <w:rPr>
                <w:rFonts w:ascii="仿宋_GB2312" w:eastAsia="仿宋_GB2312"/>
                <w:sz w:val="21"/>
              </w:rPr>
              <w:t>4</w:t>
            </w:r>
            <w:r w:rsidRPr="00C05783">
              <w:rPr>
                <w:rFonts w:ascii="仿宋_GB2312" w:eastAsia="仿宋_GB2312" w:hint="eastAsia"/>
                <w:sz w:val="21"/>
              </w:rPr>
              <w:t>；</w:t>
            </w:r>
            <w:r w:rsidR="008A68AF">
              <w:rPr>
                <w:rFonts w:ascii="仿宋_GB2312" w:eastAsia="仿宋_GB2312" w:hint="eastAsia"/>
                <w:sz w:val="21"/>
              </w:rPr>
              <w:t>基础分为</w:t>
            </w:r>
            <w:r w:rsidR="008A68AF">
              <w:rPr>
                <w:rFonts w:ascii="仿宋_GB2312" w:eastAsia="仿宋_GB2312"/>
                <w:sz w:val="21"/>
              </w:rPr>
              <w:t>40</w:t>
            </w:r>
            <w:r w:rsidR="008A68AF">
              <w:rPr>
                <w:rFonts w:ascii="仿宋_GB2312" w:eastAsia="仿宋_GB2312" w:hint="eastAsia"/>
                <w:sz w:val="21"/>
              </w:rPr>
              <w:t>分，</w:t>
            </w:r>
            <w:r w:rsidR="00A00BD1">
              <w:rPr>
                <w:rFonts w:ascii="仿宋_GB2312" w:eastAsia="仿宋_GB2312" w:hint="eastAsia"/>
                <w:sz w:val="21"/>
              </w:rPr>
              <w:t>每增加提供一种试吃糕点加1分，</w:t>
            </w:r>
            <w:r w:rsidRPr="00C05783">
              <w:rPr>
                <w:rFonts w:ascii="仿宋_GB2312" w:eastAsia="仿宋_GB2312" w:hint="eastAsia"/>
                <w:sz w:val="21"/>
              </w:rPr>
              <w:t>总分上限为45分，超出品类不额外加分</w:t>
            </w:r>
          </w:p>
        </w:tc>
        <w:tc>
          <w:tcPr>
            <w:tcW w:w="969" w:type="pct"/>
            <w:vAlign w:val="center"/>
          </w:tcPr>
          <w:p w14:paraId="2D571E00" w14:textId="77777777" w:rsidR="00435ABE" w:rsidRPr="00C05783" w:rsidRDefault="00435ABE" w:rsidP="00841CB0">
            <w:pPr>
              <w:spacing w:line="276" w:lineRule="auto"/>
              <w:jc w:val="center"/>
              <w:rPr>
                <w:rFonts w:ascii="仿宋_GB2312" w:eastAsia="仿宋_GB2312" w:hAnsi="宋体"/>
                <w:sz w:val="21"/>
                <w:szCs w:val="21"/>
              </w:rPr>
            </w:pPr>
            <w:r w:rsidRPr="00C05783">
              <w:rPr>
                <w:rFonts w:ascii="仿宋_GB2312" w:eastAsia="仿宋_GB2312" w:hAnsi="宋体" w:hint="eastAsia"/>
                <w:sz w:val="21"/>
                <w:szCs w:val="21"/>
              </w:rPr>
              <w:t>主观因素</w:t>
            </w:r>
          </w:p>
        </w:tc>
      </w:tr>
      <w:tr w:rsidR="00435ABE" w14:paraId="2124E122" w14:textId="77777777" w:rsidTr="00841CB0">
        <w:trPr>
          <w:trHeight w:val="285"/>
          <w:jc w:val="center"/>
        </w:trPr>
        <w:tc>
          <w:tcPr>
            <w:tcW w:w="349" w:type="pct"/>
            <w:vAlign w:val="center"/>
          </w:tcPr>
          <w:p w14:paraId="22CB7617"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4</w:t>
            </w:r>
          </w:p>
        </w:tc>
        <w:tc>
          <w:tcPr>
            <w:tcW w:w="763" w:type="pct"/>
            <w:vAlign w:val="center"/>
          </w:tcPr>
          <w:p w14:paraId="727E1F8E"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售后服务方案5%</w:t>
            </w:r>
          </w:p>
        </w:tc>
        <w:tc>
          <w:tcPr>
            <w:tcW w:w="486" w:type="pct"/>
            <w:vAlign w:val="center"/>
          </w:tcPr>
          <w:p w14:paraId="6B8D7B33" w14:textId="77777777" w:rsidR="00435ABE" w:rsidRPr="00C05783" w:rsidRDefault="00435ABE" w:rsidP="00841CB0">
            <w:pPr>
              <w:jc w:val="center"/>
              <w:rPr>
                <w:rFonts w:ascii="仿宋_GB2312" w:eastAsia="仿宋_GB2312" w:hAnsi="宋体"/>
                <w:sz w:val="21"/>
                <w:szCs w:val="21"/>
              </w:rPr>
            </w:pPr>
            <w:r w:rsidRPr="00C05783">
              <w:rPr>
                <w:rFonts w:ascii="仿宋_GB2312" w:eastAsia="仿宋_GB2312" w:hAnsi="宋体" w:hint="eastAsia"/>
                <w:sz w:val="21"/>
                <w:szCs w:val="21"/>
              </w:rPr>
              <w:t>5分</w:t>
            </w:r>
          </w:p>
        </w:tc>
        <w:tc>
          <w:tcPr>
            <w:tcW w:w="2433" w:type="pct"/>
            <w:vAlign w:val="center"/>
          </w:tcPr>
          <w:p w14:paraId="2DBC5408" w14:textId="77777777" w:rsidR="00435ABE" w:rsidRPr="00C05783" w:rsidRDefault="00435ABE" w:rsidP="0003560E">
            <w:pPr>
              <w:pStyle w:val="a0"/>
              <w:spacing w:line="276" w:lineRule="auto"/>
              <w:jc w:val="both"/>
              <w:rPr>
                <w:rFonts w:ascii="仿宋_GB2312" w:eastAsia="仿宋_GB2312"/>
                <w:sz w:val="21"/>
              </w:rPr>
            </w:pPr>
            <w:r w:rsidRPr="00C05783">
              <w:rPr>
                <w:rFonts w:ascii="仿宋_GB2312" w:eastAsia="仿宋_GB2312" w:hint="eastAsia"/>
                <w:sz w:val="21"/>
              </w:rPr>
              <w:t>根据供应商提供的项目售后服务方案进行评分，包含但不限于①售后服务实施进度安排②退换货机制③售后服务人员结构等。结合项目特点，方案完整、可行、合理、有针</w:t>
            </w:r>
            <w:r w:rsidRPr="00C05783">
              <w:rPr>
                <w:rFonts w:ascii="仿宋_GB2312" w:eastAsia="仿宋_GB2312" w:hint="eastAsia"/>
                <w:sz w:val="21"/>
              </w:rPr>
              <w:lastRenderedPageBreak/>
              <w:t>对性、重难点、关键点分析透彻的得5分，每有一项缺项或漏项的扣0.5分，每有一处缺陷（指：存在不适用项目实际情况的情形、凭空编造、方案中内容前后不一致、前后逻辑错误、前后矛盾、涉及的规范及标准错误、地点区域错误、内容缺失、不符合采购需求方案标题与实际内容有不相符合、方案不全面等）扣2分，扣完为止，未提供不得分。</w:t>
            </w:r>
          </w:p>
        </w:tc>
        <w:tc>
          <w:tcPr>
            <w:tcW w:w="969" w:type="pct"/>
            <w:vAlign w:val="center"/>
          </w:tcPr>
          <w:p w14:paraId="2CF07E2A" w14:textId="77777777" w:rsidR="00435ABE" w:rsidRPr="00C05783" w:rsidRDefault="00435ABE" w:rsidP="00841CB0">
            <w:pPr>
              <w:spacing w:line="276" w:lineRule="auto"/>
              <w:jc w:val="center"/>
              <w:rPr>
                <w:rFonts w:ascii="仿宋_GB2312" w:eastAsia="仿宋_GB2312" w:hAnsi="宋体"/>
                <w:sz w:val="21"/>
                <w:szCs w:val="21"/>
              </w:rPr>
            </w:pPr>
            <w:r w:rsidRPr="00C05783">
              <w:rPr>
                <w:rFonts w:ascii="仿宋_GB2312" w:eastAsia="仿宋_GB2312" w:hAnsi="宋体" w:hint="eastAsia"/>
                <w:sz w:val="21"/>
                <w:szCs w:val="21"/>
              </w:rPr>
              <w:lastRenderedPageBreak/>
              <w:t>技术类评分因素</w:t>
            </w:r>
          </w:p>
        </w:tc>
      </w:tr>
      <w:tr w:rsidR="00435ABE" w14:paraId="255DBCA8" w14:textId="77777777" w:rsidTr="00841CB0">
        <w:trPr>
          <w:cantSplit/>
          <w:trHeight w:val="990"/>
          <w:jc w:val="center"/>
        </w:trPr>
        <w:tc>
          <w:tcPr>
            <w:tcW w:w="349" w:type="pct"/>
            <w:vAlign w:val="center"/>
          </w:tcPr>
          <w:p w14:paraId="1EDDA0F5" w14:textId="77777777" w:rsidR="00435ABE" w:rsidRPr="00C05783" w:rsidRDefault="00435ABE" w:rsidP="00841CB0">
            <w:pPr>
              <w:spacing w:line="240" w:lineRule="exact"/>
              <w:ind w:firstLine="28"/>
              <w:jc w:val="center"/>
              <w:rPr>
                <w:rFonts w:ascii="仿宋_GB2312" w:eastAsia="仿宋_GB2312" w:hAnsi="宋体"/>
                <w:sz w:val="21"/>
                <w:szCs w:val="21"/>
              </w:rPr>
            </w:pPr>
            <w:r w:rsidRPr="00C05783">
              <w:rPr>
                <w:rFonts w:ascii="仿宋_GB2312" w:eastAsia="仿宋_GB2312" w:hAnsi="宋体" w:hint="eastAsia"/>
                <w:sz w:val="21"/>
                <w:szCs w:val="21"/>
              </w:rPr>
              <w:t>5</w:t>
            </w:r>
          </w:p>
        </w:tc>
        <w:tc>
          <w:tcPr>
            <w:tcW w:w="763" w:type="pct"/>
            <w:vAlign w:val="center"/>
          </w:tcPr>
          <w:p w14:paraId="3774950C" w14:textId="77777777" w:rsidR="00435ABE" w:rsidRPr="00C05783" w:rsidRDefault="00435ABE" w:rsidP="00841CB0">
            <w:pPr>
              <w:spacing w:line="240" w:lineRule="exact"/>
              <w:ind w:firstLine="28"/>
              <w:jc w:val="center"/>
              <w:rPr>
                <w:rFonts w:ascii="仿宋_GB2312" w:eastAsia="仿宋_GB2312" w:hAnsi="宋体"/>
                <w:sz w:val="21"/>
                <w:szCs w:val="21"/>
              </w:rPr>
            </w:pPr>
            <w:r w:rsidRPr="00C05783">
              <w:rPr>
                <w:rFonts w:ascii="仿宋_GB2312" w:eastAsia="仿宋_GB2312" w:hAnsi="宋体" w:hint="eastAsia"/>
                <w:sz w:val="21"/>
                <w:szCs w:val="21"/>
              </w:rPr>
              <w:t>信誉及实力5%</w:t>
            </w:r>
          </w:p>
        </w:tc>
        <w:tc>
          <w:tcPr>
            <w:tcW w:w="486" w:type="pct"/>
            <w:vAlign w:val="center"/>
          </w:tcPr>
          <w:p w14:paraId="0E86B020" w14:textId="77777777" w:rsidR="00435ABE" w:rsidRPr="00C05783" w:rsidRDefault="00435ABE" w:rsidP="00841CB0">
            <w:pPr>
              <w:spacing w:line="240" w:lineRule="exact"/>
              <w:ind w:firstLine="28"/>
              <w:jc w:val="center"/>
              <w:rPr>
                <w:rFonts w:ascii="仿宋_GB2312" w:eastAsia="仿宋_GB2312" w:hAnsi="宋体"/>
                <w:sz w:val="21"/>
                <w:szCs w:val="21"/>
              </w:rPr>
            </w:pPr>
            <w:r w:rsidRPr="00C05783">
              <w:rPr>
                <w:rFonts w:ascii="仿宋_GB2312" w:eastAsia="仿宋_GB2312" w:hAnsi="宋体" w:hint="eastAsia"/>
                <w:sz w:val="21"/>
                <w:szCs w:val="21"/>
              </w:rPr>
              <w:t>5分</w:t>
            </w:r>
          </w:p>
        </w:tc>
        <w:tc>
          <w:tcPr>
            <w:tcW w:w="2433" w:type="pct"/>
            <w:vAlign w:val="center"/>
          </w:tcPr>
          <w:p w14:paraId="601F6908" w14:textId="77777777" w:rsidR="00435ABE" w:rsidRPr="00C05783" w:rsidRDefault="00435ABE" w:rsidP="00256707">
            <w:pPr>
              <w:spacing w:line="276" w:lineRule="auto"/>
              <w:ind w:firstLine="28"/>
              <w:rPr>
                <w:rFonts w:ascii="仿宋_GB2312" w:eastAsia="仿宋_GB2312" w:hAnsi="宋体"/>
                <w:sz w:val="21"/>
                <w:szCs w:val="21"/>
              </w:rPr>
            </w:pPr>
            <w:r w:rsidRPr="00C05783">
              <w:rPr>
                <w:rFonts w:ascii="仿宋_GB2312" w:eastAsia="仿宋_GB2312" w:hAnsi="宋体" w:hint="eastAsia"/>
                <w:sz w:val="21"/>
                <w:szCs w:val="21"/>
              </w:rPr>
              <w:t>1、供应商具有质量管理体系认证得1分。</w:t>
            </w:r>
          </w:p>
          <w:p w14:paraId="300D3498" w14:textId="77777777" w:rsidR="00435ABE" w:rsidRPr="00C05783" w:rsidRDefault="00435ABE" w:rsidP="00256707">
            <w:pPr>
              <w:spacing w:line="276" w:lineRule="auto"/>
              <w:ind w:firstLine="28"/>
              <w:rPr>
                <w:rFonts w:ascii="仿宋_GB2312" w:eastAsia="仿宋_GB2312" w:hAnsi="宋体"/>
                <w:sz w:val="21"/>
                <w:szCs w:val="21"/>
              </w:rPr>
            </w:pPr>
            <w:r w:rsidRPr="00C05783">
              <w:rPr>
                <w:rFonts w:ascii="仿宋_GB2312" w:eastAsia="仿宋_GB2312" w:hAnsi="宋体" w:hint="eastAsia"/>
                <w:sz w:val="21"/>
                <w:szCs w:val="21"/>
              </w:rPr>
              <w:t>2、供应商具有环境管理体系认证证书得1分。</w:t>
            </w:r>
          </w:p>
          <w:p w14:paraId="05A77926" w14:textId="77777777" w:rsidR="00435ABE" w:rsidRPr="00C05783" w:rsidRDefault="00435ABE" w:rsidP="00256707">
            <w:pPr>
              <w:spacing w:line="276" w:lineRule="auto"/>
              <w:ind w:firstLine="28"/>
              <w:rPr>
                <w:rFonts w:ascii="仿宋_GB2312" w:eastAsia="仿宋_GB2312" w:hAnsi="宋体"/>
                <w:sz w:val="21"/>
                <w:szCs w:val="21"/>
              </w:rPr>
            </w:pPr>
            <w:r w:rsidRPr="00C05783">
              <w:rPr>
                <w:rFonts w:ascii="仿宋_GB2312" w:eastAsia="仿宋_GB2312" w:hAnsi="宋体" w:hint="eastAsia"/>
                <w:sz w:val="21"/>
                <w:szCs w:val="21"/>
              </w:rPr>
              <w:t>3、供应商具有职业健康安全管理体系认证得3分。</w:t>
            </w:r>
          </w:p>
          <w:p w14:paraId="04DF56B0" w14:textId="77777777" w:rsidR="00435ABE" w:rsidRPr="00C05783" w:rsidRDefault="00435ABE" w:rsidP="00256707">
            <w:pPr>
              <w:pStyle w:val="a0"/>
              <w:spacing w:line="276" w:lineRule="auto"/>
              <w:jc w:val="both"/>
              <w:rPr>
                <w:rFonts w:ascii="仿宋_GB2312" w:eastAsia="仿宋_GB2312"/>
                <w:sz w:val="21"/>
              </w:rPr>
            </w:pPr>
            <w:r w:rsidRPr="00C05783">
              <w:rPr>
                <w:rFonts w:ascii="仿宋_GB2312" w:eastAsia="仿宋_GB2312" w:hint="eastAsia"/>
                <w:sz w:val="21"/>
              </w:rPr>
              <w:t>注：投标时提供证书复印件。</w:t>
            </w:r>
          </w:p>
        </w:tc>
        <w:tc>
          <w:tcPr>
            <w:tcW w:w="969" w:type="pct"/>
            <w:vAlign w:val="center"/>
          </w:tcPr>
          <w:p w14:paraId="070D540A" w14:textId="77777777" w:rsidR="00435ABE" w:rsidRPr="00C05783" w:rsidRDefault="00435ABE" w:rsidP="00841CB0">
            <w:pPr>
              <w:spacing w:line="240" w:lineRule="exact"/>
              <w:ind w:left="-38"/>
              <w:jc w:val="center"/>
              <w:rPr>
                <w:rFonts w:ascii="仿宋_GB2312" w:eastAsia="仿宋_GB2312" w:hAnsi="宋体"/>
                <w:sz w:val="21"/>
                <w:szCs w:val="21"/>
              </w:rPr>
            </w:pPr>
            <w:r w:rsidRPr="00C05783">
              <w:rPr>
                <w:rFonts w:ascii="仿宋_GB2312" w:eastAsia="仿宋_GB2312" w:hAnsi="宋体" w:hint="eastAsia"/>
                <w:sz w:val="21"/>
                <w:szCs w:val="21"/>
              </w:rPr>
              <w:t>共同类评分因素</w:t>
            </w:r>
          </w:p>
        </w:tc>
      </w:tr>
    </w:tbl>
    <w:p w14:paraId="66D799C4" w14:textId="77777777" w:rsidR="00435ABE" w:rsidRDefault="00435ABE" w:rsidP="00435ABE">
      <w:pPr>
        <w:rPr>
          <w:sz w:val="21"/>
          <w:szCs w:val="21"/>
        </w:rPr>
      </w:pPr>
      <w:r>
        <w:rPr>
          <w:rFonts w:ascii="仿宋" w:eastAsia="仿宋" w:hAnsi="仿宋" w:cs="仿宋"/>
          <w:b/>
          <w:bCs/>
          <w:kern w:val="0"/>
          <w:sz w:val="21"/>
          <w:szCs w:val="21"/>
          <w:lang w:bidi="ar"/>
        </w:rPr>
        <w:t>注：评分的取值按四舍五入法，保留小数点后两位。</w:t>
      </w:r>
    </w:p>
    <w:p w14:paraId="7832DE26" w14:textId="77777777" w:rsidR="00435ABE" w:rsidRPr="00972649" w:rsidRDefault="00435ABE" w:rsidP="00435ABE"/>
    <w:p w14:paraId="24F84A95" w14:textId="77777777" w:rsidR="00BD7A6D" w:rsidRDefault="00F3397C">
      <w:pPr>
        <w:tabs>
          <w:tab w:val="left" w:pos="795"/>
        </w:tabs>
        <w:jc w:val="left"/>
        <w:rPr>
          <w:rFonts w:ascii="宋体" w:hAnsi="宋体"/>
        </w:rPr>
      </w:pPr>
      <w:r>
        <w:rPr>
          <w:rFonts w:ascii="宋体" w:hAnsi="宋体" w:hint="eastAsia"/>
        </w:rPr>
        <w:tab/>
      </w:r>
    </w:p>
    <w:sectPr w:rsidR="00BD7A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7741" w14:textId="77777777" w:rsidR="00C0364B" w:rsidRDefault="00C0364B" w:rsidP="003D569A">
      <w:r>
        <w:separator/>
      </w:r>
    </w:p>
  </w:endnote>
  <w:endnote w:type="continuationSeparator" w:id="0">
    <w:p w14:paraId="0EC77FFF" w14:textId="77777777" w:rsidR="00C0364B" w:rsidRDefault="00C0364B" w:rsidP="003D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7CD1" w14:textId="77777777" w:rsidR="00C0364B" w:rsidRDefault="00C0364B" w:rsidP="003D569A">
      <w:r>
        <w:separator/>
      </w:r>
    </w:p>
  </w:footnote>
  <w:footnote w:type="continuationSeparator" w:id="0">
    <w:p w14:paraId="6309FD34" w14:textId="77777777" w:rsidR="00C0364B" w:rsidRDefault="00C0364B" w:rsidP="003D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4545A"/>
    <w:multiLevelType w:val="singleLevel"/>
    <w:tmpl w:val="7844545A"/>
    <w:lvl w:ilvl="0">
      <w:start w:val="1"/>
      <w:numFmt w:val="decimal"/>
      <w:suff w:val="nothing"/>
      <w:lvlText w:val="%1、"/>
      <w:lvlJc w:val="left"/>
    </w:lvl>
  </w:abstractNum>
  <w:num w:numId="1" w16cid:durableId="725759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FkN2E3MzgwY2ZjMGUzNDBjYmRiZjc1ZDYxYmM1MGQifQ=="/>
  </w:docVars>
  <w:rsids>
    <w:rsidRoot w:val="00794A96"/>
    <w:rsid w:val="0003560E"/>
    <w:rsid w:val="0004353F"/>
    <w:rsid w:val="00046E89"/>
    <w:rsid w:val="00070743"/>
    <w:rsid w:val="00117E44"/>
    <w:rsid w:val="00183311"/>
    <w:rsid w:val="002077A5"/>
    <w:rsid w:val="00256707"/>
    <w:rsid w:val="002B19DC"/>
    <w:rsid w:val="00337EC3"/>
    <w:rsid w:val="00376EE8"/>
    <w:rsid w:val="003B35D2"/>
    <w:rsid w:val="003D569A"/>
    <w:rsid w:val="003F0BFE"/>
    <w:rsid w:val="00435ABE"/>
    <w:rsid w:val="004470CF"/>
    <w:rsid w:val="004970D4"/>
    <w:rsid w:val="004D1F01"/>
    <w:rsid w:val="00510A45"/>
    <w:rsid w:val="005B27D6"/>
    <w:rsid w:val="0072420A"/>
    <w:rsid w:val="00794A96"/>
    <w:rsid w:val="008A68AF"/>
    <w:rsid w:val="009168D4"/>
    <w:rsid w:val="0097792B"/>
    <w:rsid w:val="009A011A"/>
    <w:rsid w:val="00A00BD1"/>
    <w:rsid w:val="00A3694F"/>
    <w:rsid w:val="00A717BA"/>
    <w:rsid w:val="00A73FC9"/>
    <w:rsid w:val="00B23864"/>
    <w:rsid w:val="00B310EE"/>
    <w:rsid w:val="00BD7A6D"/>
    <w:rsid w:val="00BE0CC2"/>
    <w:rsid w:val="00BE3EAB"/>
    <w:rsid w:val="00C0364B"/>
    <w:rsid w:val="00C05783"/>
    <w:rsid w:val="00C87B0F"/>
    <w:rsid w:val="00D1624E"/>
    <w:rsid w:val="00D206DA"/>
    <w:rsid w:val="00D3455B"/>
    <w:rsid w:val="00DC7CF2"/>
    <w:rsid w:val="00E47C26"/>
    <w:rsid w:val="00ED16DE"/>
    <w:rsid w:val="00F3397C"/>
    <w:rsid w:val="00F41A2A"/>
    <w:rsid w:val="00FE2DDB"/>
    <w:rsid w:val="120F388D"/>
    <w:rsid w:val="14FF222F"/>
    <w:rsid w:val="17445C06"/>
    <w:rsid w:val="1B36086D"/>
    <w:rsid w:val="63C52685"/>
    <w:rsid w:val="719E7DBF"/>
    <w:rsid w:val="7AE1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7781"/>
  <w15:docId w15:val="{445DDC4C-7993-4210-9D1A-FF3FB3C6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35ABE"/>
    <w:pPr>
      <w:widowControl w:val="0"/>
      <w:jc w:val="both"/>
    </w:pPr>
    <w:rPr>
      <w:rFonts w:ascii="Calibri" w:eastAsia="宋体" w:hAnsi="Calibri" w:cs="Times New Roman"/>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jc w:val="center"/>
    </w:pPr>
    <w:rPr>
      <w:rFonts w:ascii="宋体" w:hAnsi="宋体"/>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qFormat/>
    <w:rPr>
      <w:sz w:val="18"/>
      <w:szCs w:val="18"/>
    </w:rPr>
  </w:style>
  <w:style w:type="paragraph" w:customStyle="1" w:styleId="WPSOffice1">
    <w:name w:val="WPSOffice手动目录 1"/>
    <w:qFormat/>
    <w:rPr>
      <w:rFonts w:ascii="Times New Roman" w:eastAsia="宋体" w:hAnsi="Times New Roman" w:cs="Times New Roman"/>
    </w:rPr>
  </w:style>
  <w:style w:type="paragraph" w:styleId="a9">
    <w:name w:val="List Paragraph"/>
    <w:basedOn w:val="a"/>
    <w:uiPriority w:val="34"/>
    <w:qFormat/>
    <w:pPr>
      <w:ind w:firstLineChars="200" w:firstLine="420"/>
    </w:pPr>
  </w:style>
  <w:style w:type="paragraph" w:customStyle="1" w:styleId="2">
    <w:name w:val="正文2"/>
    <w:next w:val="a"/>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eastAsia="宋体" w:hAnsi="Arial" w:cs="Times New Roman"/>
      <w:sz w:val="24"/>
    </w:rPr>
  </w:style>
  <w:style w:type="character" w:styleId="aa">
    <w:name w:val="annotation reference"/>
    <w:basedOn w:val="a1"/>
    <w:uiPriority w:val="99"/>
    <w:semiHidden/>
    <w:unhideWhenUsed/>
    <w:rsid w:val="00070743"/>
    <w:rPr>
      <w:sz w:val="21"/>
      <w:szCs w:val="21"/>
    </w:rPr>
  </w:style>
  <w:style w:type="paragraph" w:styleId="ab">
    <w:name w:val="annotation text"/>
    <w:basedOn w:val="a"/>
    <w:link w:val="ac"/>
    <w:uiPriority w:val="99"/>
    <w:semiHidden/>
    <w:unhideWhenUsed/>
    <w:rsid w:val="00070743"/>
    <w:pPr>
      <w:jc w:val="left"/>
    </w:pPr>
  </w:style>
  <w:style w:type="character" w:customStyle="1" w:styleId="ac">
    <w:name w:val="批注文字 字符"/>
    <w:basedOn w:val="a1"/>
    <w:link w:val="ab"/>
    <w:uiPriority w:val="99"/>
    <w:semiHidden/>
    <w:rsid w:val="00070743"/>
    <w:rPr>
      <w:rFonts w:ascii="Calibri" w:eastAsia="宋体" w:hAnsi="Calibri" w:cs="Times New Roman"/>
      <w:kern w:val="2"/>
      <w:sz w:val="24"/>
      <w:szCs w:val="22"/>
    </w:rPr>
  </w:style>
  <w:style w:type="paragraph" w:styleId="ad">
    <w:name w:val="annotation subject"/>
    <w:basedOn w:val="ab"/>
    <w:next w:val="ab"/>
    <w:link w:val="ae"/>
    <w:uiPriority w:val="99"/>
    <w:semiHidden/>
    <w:unhideWhenUsed/>
    <w:rsid w:val="00070743"/>
    <w:rPr>
      <w:b/>
      <w:bCs/>
    </w:rPr>
  </w:style>
  <w:style w:type="character" w:customStyle="1" w:styleId="ae">
    <w:name w:val="批注主题 字符"/>
    <w:basedOn w:val="ac"/>
    <w:link w:val="ad"/>
    <w:uiPriority w:val="99"/>
    <w:semiHidden/>
    <w:rsid w:val="00070743"/>
    <w:rPr>
      <w:rFonts w:ascii="Calibri" w:eastAsia="宋体" w:hAnsi="Calibri" w:cs="Times New Roman"/>
      <w:b/>
      <w:bCs/>
      <w:kern w:val="2"/>
      <w:sz w:val="24"/>
      <w:szCs w:val="22"/>
    </w:rPr>
  </w:style>
  <w:style w:type="paragraph" w:styleId="af">
    <w:name w:val="Balloon Text"/>
    <w:basedOn w:val="a"/>
    <w:link w:val="af0"/>
    <w:uiPriority w:val="99"/>
    <w:semiHidden/>
    <w:unhideWhenUsed/>
    <w:rsid w:val="00070743"/>
    <w:rPr>
      <w:sz w:val="18"/>
      <w:szCs w:val="18"/>
    </w:rPr>
  </w:style>
  <w:style w:type="character" w:customStyle="1" w:styleId="af0">
    <w:name w:val="批注框文本 字符"/>
    <w:basedOn w:val="a1"/>
    <w:link w:val="af"/>
    <w:uiPriority w:val="99"/>
    <w:semiHidden/>
    <w:rsid w:val="00070743"/>
    <w:rPr>
      <w:rFonts w:ascii="Calibri" w:eastAsia="宋体" w:hAnsi="Calibri" w:cs="Times New Roman"/>
      <w:kern w:val="2"/>
      <w:sz w:val="18"/>
      <w:szCs w:val="18"/>
    </w:rPr>
  </w:style>
  <w:style w:type="paragraph" w:styleId="af1">
    <w:name w:val="Revision"/>
    <w:hidden/>
    <w:uiPriority w:val="99"/>
    <w:semiHidden/>
    <w:rsid w:val="002B19DC"/>
    <w:rPr>
      <w:rFonts w:ascii="Calibri" w:eastAsia="宋体" w:hAnsi="Calibri"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147</Words>
  <Characters>839</Characters>
  <Application>Microsoft Office Word</Application>
  <DocSecurity>0</DocSecurity>
  <Lines>6</Lines>
  <Paragraphs>1</Paragraphs>
  <ScaleCrop>false</ScaleCrop>
  <Company>P R C</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916096710@qq.com</dc:creator>
  <cp:lastModifiedBy>钰玲 胡</cp:lastModifiedBy>
  <cp:revision>13</cp:revision>
  <dcterms:created xsi:type="dcterms:W3CDTF">2023-11-13T02:11:00Z</dcterms:created>
  <dcterms:modified xsi:type="dcterms:W3CDTF">2023-11-13T03:59:00Z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DD505C7BCB2345B08CFF39467C09289F</vt:lpwstr>
  </property>
</Properties>
</file>