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四川省第四人民医院病理科锯骨机采购项目具体内容要求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ind w:left="64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四川省第四人医院7楼行政综合办公室2</w:t>
      </w:r>
    </w:p>
    <w:p w14:paraId="5C7A8F2A">
      <w:pPr>
        <w:spacing w:line="360" w:lineRule="auto"/>
        <w:ind w:left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</w:p>
    <w:p w14:paraId="0FBA0F31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32DED4E1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年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月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四川省第四人民医院病理科锯骨机采购项目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 xml:space="preserve">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auto"/>
          <w:sz w:val="28"/>
          <w:szCs w:val="36"/>
          <w:u w:val="single"/>
        </w:rPr>
        <w:t>四川省第四人民医院病理科锯骨机采购项目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10CF9CF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E12B2"/>
    <w:rsid w:val="2C7D1B6F"/>
    <w:rsid w:val="49025314"/>
    <w:rsid w:val="4A42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2025-06-23T02:19:56Z</dcterms:created>
  <dc:creator>华西医院</dc:creator>
  <cp:lastModifiedBy>胡钰玲</cp:lastModifiedBy>
  <dcterms:modified xsi:type="dcterms:W3CDTF">2025-06-23T02:23:35Z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5DC387D5DE0948AB974F1FCF0C508A90_12</vt:lpwstr>
  </property>
</Properties>
</file>