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四川省第四人民医院</w:t>
      </w:r>
      <w:r>
        <w:rPr>
          <w:rFonts w:hint="eastAsia" w:ascii="方正小标宋简体" w:hAnsi="方正小标宋简体" w:eastAsia="方正小标宋简体" w:cs="方正小标宋简体"/>
          <w:color w:val="auto"/>
          <w:sz w:val="44"/>
          <w:szCs w:val="44"/>
          <w:lang w:val="en-US" w:eastAsia="zh-CN"/>
        </w:rPr>
        <w:t>三级等保测评</w:t>
      </w:r>
      <w:r>
        <w:rPr>
          <w:rFonts w:hint="eastAsia" w:ascii="方正小标宋简体" w:hAnsi="方正小标宋简体" w:eastAsia="方正小标宋简体" w:cs="方正小标宋简体"/>
          <w:sz w:val="44"/>
          <w:szCs w:val="44"/>
          <w:lang w:val="en-US" w:eastAsia="zh-CN"/>
        </w:rPr>
        <w:t>项目采购需求文件</w:t>
      </w:r>
    </w:p>
    <w:p w14:paraId="634A7439">
      <w:pPr>
        <w:numPr>
          <w:ilvl w:val="0"/>
          <w:numId w:val="2"/>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1258BA63">
      <w:pPr>
        <w:numPr>
          <w:ilvl w:val="0"/>
          <w:numId w:val="0"/>
        </w:numPr>
        <w:spacing w:line="360" w:lineRule="auto"/>
        <w:ind w:firstLine="480" w:firstLineChars="200"/>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为了落实公安部、网信办和卫健委应用系统安全等级保护要求，进一步增强系统安全防护能力，确保系统安全稳定运行，防止因系统安全事件引发安全事故依据《信息安全技术网络安全等级保护基本要求》（GB/T 22239-2019）、《信息安全等级保护管理办法》（公通字[2007]43 号）和《中华人民共和国网络安全法》等标准规范，四川省第四人民医院（以下简称“省四医院”）特开展此次等级保护测评工作。</w:t>
      </w:r>
    </w:p>
    <w:p w14:paraId="351BBF8C">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项目既往情况</w:t>
      </w:r>
    </w:p>
    <w:p w14:paraId="280FC763">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2024年完成HIS、EMR、LIS共计3项系统三级等保测评。</w:t>
      </w:r>
    </w:p>
    <w:p w14:paraId="6F01F2B5">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参数配置要求或技术服务要求</w:t>
      </w:r>
    </w:p>
    <w:p w14:paraId="62F78C1B">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依据国家和行业信息安全的相关标准，全面了解和掌握企业为系统现有安全状况，找出其与《信息系统安全等级保护基本要求》对应级别的差距，及时发现系统存在的安全问题，针对等级保护测评中发现的各种安全风险，测评项目组提出适宜的安全整改建议，最终提交该系统等级保护测评报告。</w:t>
      </w:r>
    </w:p>
    <w:p w14:paraId="38EFCB11">
      <w:pPr>
        <w:numPr>
          <w:ilvl w:val="0"/>
          <w:numId w:val="0"/>
        </w:numPr>
        <w:spacing w:line="360" w:lineRule="auto"/>
        <w:ind w:firstLine="480" w:firstLineChars="200"/>
        <w:rPr>
          <w:rFonts w:hint="eastAsia" w:ascii="黑体" w:hAnsi="黑体" w:eastAsia="黑体" w:cs="黑体"/>
          <w:color w:val="auto"/>
          <w:sz w:val="24"/>
          <w:szCs w:val="32"/>
          <w:lang w:val="en-US" w:eastAsia="zh-CN"/>
        </w:rPr>
      </w:pPr>
      <w:r>
        <w:rPr>
          <w:rFonts w:hint="eastAsia" w:ascii="黑体" w:hAnsi="黑体" w:eastAsia="黑体" w:cs="黑体"/>
          <w:color w:val="auto"/>
          <w:sz w:val="24"/>
          <w:szCs w:val="32"/>
          <w:lang w:val="en-US" w:eastAsia="zh-CN"/>
        </w:rPr>
        <w:t>本次测评包含：2025年度HIS、LIS、EMR、医保移动支付共计4个医院业务系统。</w:t>
      </w:r>
      <w:bookmarkStart w:id="0" w:name="_GoBack"/>
      <w:bookmarkEnd w:id="0"/>
    </w:p>
    <w:p w14:paraId="2CB10D88">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项目建设方案依据《GB/T 28448-2019《信息安全技术网络安全等级保护测评要求》，按照《信息安全技术网络安全等级保护测评过程指南》（GB/T 28449-2018）要求，采取相应的测评方法（包括：访谈、检查、测试），按照相应的测评规程对测评对象（包括：制度文档、各类设备、安全配置、相关人员）进行相应力度（包括：广度、深度）的单元测评、整体测评，对测评发现的风险项进行分析评估，提出合理化整改建议，最终得到相应的信息系统等级测评报告。</w:t>
      </w:r>
    </w:p>
    <w:p w14:paraId="1F60EA0F">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（一）测评要求根据项目需求，为保障信息安全现场测评过程安全可控，明确测评人员职责分配、规范测评人员操作，保障测评结果有效，至少包括以下几个流程：</w:t>
      </w:r>
    </w:p>
    <w:p w14:paraId="63FFF825">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1、确定测评范围明确本次被测评信息系统的范围，包括每个信息系统的范围、信息系统的边界等。</w:t>
      </w:r>
    </w:p>
    <w:p w14:paraId="738866E1">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2、获得信息系统的信息通过调查或查阅资料的方式，了解被测评信息系统的构成，包括网络拓扑、业务应用、业务流程、设备信息、安全措施状况等。</w:t>
      </w:r>
    </w:p>
    <w:p w14:paraId="35459D41">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3、确定具体的测评对象初步确定每个信息系统的被测评对象，包括整体对象，如机房、办公环境、网络等，也包括具体对象，如边界设备、网关设备、服务器设备、工作站、应用系统等。</w:t>
      </w:r>
    </w:p>
    <w:p w14:paraId="4AAEA4F3">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4、确定测评工作的方法根据信息系统安全等级情况、系统规模大小等，明确本次测评的方法。</w:t>
      </w:r>
    </w:p>
    <w:p w14:paraId="28FACC0E">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5、制定测评工作计划制定测评工作计划或方案，说明测评范围、测评对象、工作方法、人员组成、角色职责、时间计划等。</w:t>
      </w:r>
    </w:p>
    <w:p w14:paraId="3872FD64">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6、实施等级保护测评 实施测评，包括人工检查、工具扫描等方式。</w:t>
      </w:r>
    </w:p>
    <w:p w14:paraId="2E6FCA08">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7、项目总结，对测评结果进行总结、汇报。</w:t>
      </w:r>
    </w:p>
    <w:p w14:paraId="11A6738B">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（二）测评内容按照信息系统等级保护测评依据开展测评工作（包括不限于以下项目）</w:t>
      </w:r>
    </w:p>
    <w:p w14:paraId="39AB5EC8">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1、物理安全物理安全检查主要是了解信息系统的物理安全保障情况。涉及对象为机房。在内容上，物理安全层面测评实施过程涉及的工作单元，</w:t>
      </w:r>
    </w:p>
    <w:p w14:paraId="7E5FFCD6">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2、网络安全网络设备、网络安全设备以及网络拓扑结构等三大类对象。在内容上，网络安全层面测评过程涉及的工作单元</w:t>
      </w:r>
    </w:p>
    <w:p w14:paraId="4373AA4F">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3、主机安全主机系统安全检查是为了了解评测目标系统的主机系统安全保障情况。在内容上，主机系统安全层面测评实施过程涉及的工作单元</w:t>
      </w:r>
    </w:p>
    <w:p w14:paraId="4759693F">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4、应用系统安全应用安全检查是为了了解评测“五险合一”业务应用系统的应用安全保障情况。在内容上，应用安全层面测评实施过程涉及的工作单元</w:t>
      </w:r>
    </w:p>
    <w:p w14:paraId="4C2779D7">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5、数据安全及备份恢复数据安全及备份恢复评估是为了了解评测系统的数据安全及备份恢复保障情况。本次测评重点检查系统的数据在采集、传输、处理和存储过程中的安全及安全备份恢复情况。在内容上，实施过程涉及的工作单元</w:t>
      </w:r>
    </w:p>
    <w:p w14:paraId="217A12C9">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6、安全管理制度安全管理制度测评是为了了解评测安全管理制度的制定、发布、评审和修订等情况。主要涉及安全主管人员、安全管理人员、各类其它人员、各类管理制度、各类操作规程文件等对象。在内容上，安全管理制度测评实施过程涉及的工作单元</w:t>
      </w:r>
    </w:p>
    <w:p w14:paraId="632F6F27">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7、安全管理机构安全管理机构测评是为了了解评测安全管理机构的组成情况和机构工作组织情况。主要涉及安全主管人员、安全管理人员、相关的文件资料和工作记录等对象。</w:t>
      </w:r>
    </w:p>
    <w:p w14:paraId="2DC8059C">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8、人员安全管理人员安全管理测评是为了了解评测人员安全方面的情况。主要涉及安全主管人员、人事管理人员、相关管理制度、相关工作记录等对象。在内容上，人员安全管理测评实施过程涉及的工作单元。</w:t>
      </w:r>
    </w:p>
    <w:p w14:paraId="063CE55B">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9、系统运维管理系统运维管理测评是为了了解评测系统运维管理过程中的安全控制情况。主要涉及安全主管人员、安全管理人员、各类运维人员、各类管理制度、操作规程文件、执行过程记录等对象。在内容上，系统运维管理测评实施过程涉及的工作单元。</w:t>
      </w:r>
    </w:p>
    <w:p w14:paraId="3444CE9A">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潜在供应商所需特殊资质要求</w:t>
      </w:r>
    </w:p>
    <w:p w14:paraId="21E62685">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为保证项目实施质量，拟派本项目人员需要具备包括但不限于信息（或网络）安全等级测评师证书、计算机技术与软件专业技术人员资格证书（信息安全工程师）、COBIT信息系统审计认证证书、重要信息系统保护人员CIIP-A（可信计算）证书、注册密码安全专业人员（NSATP-CSP）证书、DSA数据安全评估师证书、高级软件测评工程师证书、CISP注册信息安全专业人员证书、注册渗透测试工程师证书（CISP-PTE）或CCSS-R网络安全服务能力评价证书（应急响应能力认证）等安全服务能力证书。</w:t>
      </w:r>
    </w:p>
    <w:p w14:paraId="0DC92F69">
      <w:pPr>
        <w:numPr>
          <w:ilvl w:val="0"/>
          <w:numId w:val="0"/>
        </w:numPr>
        <w:spacing w:line="360" w:lineRule="auto"/>
        <w:ind w:firstLine="480" w:firstLineChars="200"/>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2.属于四川省外测评机构的，须提供在报价阶段有效期内（2025年内）的公安机关“异地备案证明”材料和在四川省常设机构相关证明材料如租赁合同或自有房产证明(四川省内报价单位无须提供)。</w:t>
      </w:r>
    </w:p>
    <w:p w14:paraId="5E149A20">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17BD3BAA">
      <w:pPr>
        <w:pStyle w:val="9"/>
        <w:spacing w:line="400" w:lineRule="exact"/>
        <w:ind w:left="0" w:leftChars="0" w:firstLine="0" w:firstLineChars="0"/>
        <w:rPr>
          <w:rFonts w:ascii="仿宋_GB2312" w:eastAsia="仿宋_GB2312"/>
          <w:sz w:val="24"/>
        </w:rPr>
      </w:pPr>
      <w:r>
        <w:rPr>
          <w:rFonts w:hint="eastAsia" w:ascii="仿宋_GB2312" w:eastAsia="仿宋_GB2312"/>
          <w:sz w:val="24"/>
        </w:rPr>
        <w:t>1、经采购人验收合格后自收到发票之日起30个工作日内支付合同金额的100%。</w:t>
      </w:r>
    </w:p>
    <w:p w14:paraId="2232F977">
      <w:pPr>
        <w:pStyle w:val="9"/>
        <w:spacing w:line="400" w:lineRule="exact"/>
        <w:ind w:left="0" w:leftChars="0" w:firstLine="0" w:firstLineChars="0"/>
        <w:rPr>
          <w:rFonts w:hint="eastAsia" w:ascii="仿宋_GB2312" w:eastAsia="仿宋_GB2312"/>
          <w:sz w:val="24"/>
        </w:rPr>
      </w:pPr>
      <w:r>
        <w:rPr>
          <w:rFonts w:hint="eastAsia" w:ascii="仿宋_GB2312" w:eastAsia="仿宋_GB2312"/>
          <w:sz w:val="24"/>
        </w:rPr>
        <w:t>2、中标人须向采购人出具合法有效完整的完税发票及凭证资料进行支付结算。</w:t>
      </w:r>
    </w:p>
    <w:p w14:paraId="2621A32A">
      <w:pPr>
        <w:numPr>
          <w:ilvl w:val="0"/>
          <w:numId w:val="0"/>
        </w:numPr>
        <w:spacing w:line="360" w:lineRule="auto"/>
        <w:rPr>
          <w:rFonts w:hint="eastAsia" w:ascii="仿宋_GB2312" w:eastAsia="仿宋_GB2312"/>
          <w:sz w:val="24"/>
          <w:lang w:val="en-US" w:eastAsia="zh-CN"/>
        </w:rPr>
      </w:pPr>
      <w:r>
        <w:rPr>
          <w:rFonts w:hint="eastAsia" w:ascii="仿宋_GB2312" w:eastAsia="仿宋_GB2312"/>
          <w:sz w:val="24"/>
          <w:lang w:val="en-US" w:eastAsia="zh-CN"/>
        </w:rPr>
        <w:t>3、</w:t>
      </w:r>
      <w:r>
        <w:rPr>
          <w:rFonts w:hint="eastAsia" w:ascii="仿宋_GB2312" w:hAnsi="仿宋_GB2312" w:eastAsia="仿宋_GB2312" w:cs="仿宋_GB2312"/>
          <w:color w:val="auto"/>
          <w:sz w:val="24"/>
          <w:szCs w:val="32"/>
          <w:lang w:val="en-US" w:eastAsia="zh-CN"/>
        </w:rPr>
        <w:t>采购人付款前，供应商向采购人开具合法有效的增值税发票，否则采购人有权拒绝付款。</w:t>
      </w:r>
    </w:p>
    <w:p w14:paraId="6271EF98">
      <w:pPr>
        <w:numPr>
          <w:ilvl w:val="0"/>
          <w:numId w:val="2"/>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验收标准</w:t>
      </w:r>
    </w:p>
    <w:p w14:paraId="5F01EFFC">
      <w:pPr>
        <w:pStyle w:val="9"/>
        <w:spacing w:line="400" w:lineRule="exact"/>
        <w:ind w:left="0" w:leftChars="0" w:firstLine="480" w:firstLineChars="200"/>
        <w:rPr>
          <w:rFonts w:hint="default"/>
          <w:lang w:val="en-US" w:eastAsia="zh-CN"/>
        </w:rPr>
      </w:pPr>
      <w:r>
        <w:rPr>
          <w:rFonts w:hint="eastAsia" w:ascii="仿宋_GB2312" w:eastAsia="仿宋_GB2312"/>
          <w:sz w:val="24"/>
        </w:rPr>
        <w:t>严格按照《财政部关于进一步加强政府采购需求和履约验收管理的指导意见》（财库〔2016〕205号）、《政府采购需求管理办法》（财库〔2021〕22号）的要求进行验收。本项目为系统等级保护评测，成功上传至省公安厅等级保护网站备案后，视为验收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F111548"/>
    <w:multiLevelType w:val="singleLevel"/>
    <w:tmpl w:val="6F11154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zEzYmZlYmUyOTllZDUyODNkMTAwMTgyNDcxODYifQ=="/>
  </w:docVars>
  <w:rsids>
    <w:rsidRoot w:val="00000000"/>
    <w:rsid w:val="00125861"/>
    <w:rsid w:val="026C4FD1"/>
    <w:rsid w:val="03573182"/>
    <w:rsid w:val="03767EB5"/>
    <w:rsid w:val="044E0E40"/>
    <w:rsid w:val="04716E78"/>
    <w:rsid w:val="05163BEE"/>
    <w:rsid w:val="0DC54EF5"/>
    <w:rsid w:val="0E0E6B13"/>
    <w:rsid w:val="12030C32"/>
    <w:rsid w:val="129062AC"/>
    <w:rsid w:val="13EE5846"/>
    <w:rsid w:val="167D3580"/>
    <w:rsid w:val="1DCE3679"/>
    <w:rsid w:val="21E836BB"/>
    <w:rsid w:val="21F4496F"/>
    <w:rsid w:val="22AF4D3A"/>
    <w:rsid w:val="22FC0050"/>
    <w:rsid w:val="23B819CC"/>
    <w:rsid w:val="270B2356"/>
    <w:rsid w:val="27673E35"/>
    <w:rsid w:val="28B05368"/>
    <w:rsid w:val="291B6C85"/>
    <w:rsid w:val="2B4D019C"/>
    <w:rsid w:val="2EB05202"/>
    <w:rsid w:val="33614230"/>
    <w:rsid w:val="33DA14EB"/>
    <w:rsid w:val="345319C9"/>
    <w:rsid w:val="346E234B"/>
    <w:rsid w:val="3485124E"/>
    <w:rsid w:val="353D0695"/>
    <w:rsid w:val="36015455"/>
    <w:rsid w:val="37AC639B"/>
    <w:rsid w:val="3A607D2E"/>
    <w:rsid w:val="3C033CD5"/>
    <w:rsid w:val="3C3E6414"/>
    <w:rsid w:val="410A2582"/>
    <w:rsid w:val="41EF42DB"/>
    <w:rsid w:val="4358146F"/>
    <w:rsid w:val="44DB760A"/>
    <w:rsid w:val="45B17F9D"/>
    <w:rsid w:val="483B5654"/>
    <w:rsid w:val="49B63741"/>
    <w:rsid w:val="4F400944"/>
    <w:rsid w:val="4F9547EC"/>
    <w:rsid w:val="4FD51ACF"/>
    <w:rsid w:val="55E437E4"/>
    <w:rsid w:val="55F774E9"/>
    <w:rsid w:val="56404F20"/>
    <w:rsid w:val="570C1B99"/>
    <w:rsid w:val="57A44166"/>
    <w:rsid w:val="5C432F58"/>
    <w:rsid w:val="5E343DDC"/>
    <w:rsid w:val="60C05441"/>
    <w:rsid w:val="652341F0"/>
    <w:rsid w:val="65E4233D"/>
    <w:rsid w:val="6694360E"/>
    <w:rsid w:val="66F20DDD"/>
    <w:rsid w:val="68C43F8C"/>
    <w:rsid w:val="6AB605EF"/>
    <w:rsid w:val="6B4E2541"/>
    <w:rsid w:val="6C2E162F"/>
    <w:rsid w:val="6D582FC7"/>
    <w:rsid w:val="6EFD5AB2"/>
    <w:rsid w:val="73FC19D3"/>
    <w:rsid w:val="79D815F5"/>
    <w:rsid w:val="7D424210"/>
    <w:rsid w:val="7EC54A3F"/>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 w:type="paragraph" w:customStyle="1" w:styleId="10">
    <w:name w:val="标题 5（有编号）（绿盟科技）"/>
    <w:basedOn w:val="1"/>
    <w:next w:val="1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2338</Words>
  <Characters>2451</Characters>
  <Lines>0</Lines>
  <Paragraphs>0</Paragraphs>
  <TotalTime>2</TotalTime>
  <ScaleCrop>false</ScaleCrop>
  <LinksUpToDate>false</LinksUpToDate>
  <CharactersWithSpaces>2456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2025-01-13T08:25:00Z</dcterms:created>
  <dc:creator>华西医院</dc:creator>
  <cp:lastModifiedBy>胡钰玲</cp:lastModifiedBy>
  <dcterms:modified xsi:type="dcterms:W3CDTF">2025-09-19T01:21:59Z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3EAE9388057545D585E3C9C309DEF512_12</vt:lpwstr>
  </property>
  <property fmtid="{D5CDD505-2E9C-101B-9397-08002B2CF9AE}" pid="4" name="KSOTemplateDocerSaveRecord">
    <vt:lpwstr>eyJoZGlkIjoiODA0YzEzYmZlYmUyOTllZDUyODNkMTAwMTgyNDcxODYiLCJ1c2VySWQiOiIxNTc0MTg2MjQ1In0=</vt:lpwstr>
  </property>
</Properties>
</file>