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FC784">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sz w:val="44"/>
          <w:szCs w:val="44"/>
          <w:lang w:val="en-US" w:eastAsia="zh-CN"/>
        </w:rPr>
        <w:t>四川省第四人民医院</w:t>
      </w:r>
      <w:r>
        <w:rPr>
          <w:rFonts w:hint="eastAsia" w:ascii="方正小标宋简体" w:hAnsi="方正小标宋简体" w:eastAsia="方正小标宋简体" w:cs="方正小标宋简体"/>
          <w:color w:val="auto"/>
          <w:sz w:val="44"/>
          <w:szCs w:val="44"/>
          <w:lang w:val="en-US" w:eastAsia="zh-CN"/>
        </w:rPr>
        <w:t>2026至2028年度</w:t>
      </w:r>
    </w:p>
    <w:p w14:paraId="253F856C">
      <w:pPr>
        <w:jc w:val="center"/>
        <w:rPr>
          <w:rFonts w:hint="eastAsia"/>
          <w:lang w:val="en-US" w:eastAsia="zh-CN"/>
        </w:rPr>
      </w:pPr>
      <w:r>
        <w:rPr>
          <w:rFonts w:hint="eastAsia" w:ascii="方正小标宋简体" w:hAnsi="方正小标宋简体" w:eastAsia="方正小标宋简体" w:cs="方正小标宋简体"/>
          <w:color w:val="auto"/>
          <w:sz w:val="44"/>
          <w:szCs w:val="44"/>
          <w:lang w:val="en-US" w:eastAsia="zh-CN"/>
        </w:rPr>
        <w:t>放射工作人员个人剂量监测服务</w:t>
      </w:r>
      <w:r>
        <w:rPr>
          <w:rFonts w:hint="eastAsia" w:ascii="方正小标宋简体" w:hAnsi="方正小标宋简体" w:eastAsia="方正小标宋简体" w:cs="方正小标宋简体"/>
          <w:sz w:val="44"/>
          <w:szCs w:val="44"/>
          <w:lang w:val="en-US" w:eastAsia="zh-CN"/>
        </w:rPr>
        <w:t>项目采购需求文件</w:t>
      </w:r>
    </w:p>
    <w:p w14:paraId="634A7439">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项目申请理由</w:t>
      </w:r>
    </w:p>
    <w:p w14:paraId="29C07C9B">
      <w:pPr>
        <w:numPr>
          <w:ilvl w:val="0"/>
          <w:numId w:val="0"/>
        </w:numPr>
        <w:spacing w:line="360" w:lineRule="auto"/>
        <w:ind w:firstLine="480" w:firstLineChars="200"/>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依据《中华人民共和国职业病防治法》第二十五条：明确规定用人单位必须为接触放射线的工作人员配备个人剂量计及报警装置，是佩戴个人剂量计的直接法律依据。第六十五条、第七十五条：对未履行监测义务或未提供防护设备的单位，规定了警告、罚款（最高20万元）等处罚措施。《放射性同位素与射线装置安全和防护条例》要求放射工作单位对工作人员进行个人剂量监测和职业健康检查，建立个人剂量档案，并定期报告监测数据。为工作人员健康检查提供依据，筑牢职业安全防线。并动态监控设备辐射状况，支撑设备维护与质量管控，符合医疗质量评价标准，保障诊疗安全。</w:t>
      </w:r>
    </w:p>
    <w:p w14:paraId="351BBF8C">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项目既往情况</w:t>
      </w:r>
    </w:p>
    <w:p w14:paraId="280FC763">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既往放射剂量检测服务按约定周期有序开展，检测流程规范、数据准确，服务响应及时，有效保障了我院放射诊疗工作的合规开展与工作人员职业健康安全。</w:t>
      </w:r>
    </w:p>
    <w:p w14:paraId="6F01F2B5">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参数配置要求或技术服务要求</w:t>
      </w:r>
    </w:p>
    <w:p w14:paraId="0524A5EB">
      <w:pPr>
        <w:numPr>
          <w:ilvl w:val="0"/>
          <w:numId w:val="2"/>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整体要求：</w:t>
      </w:r>
    </w:p>
    <w:p w14:paraId="33CE790C">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1.1个人剂量需要每个季度进行监测，检测时间为一年监测四次。</w:t>
      </w:r>
    </w:p>
    <w:p w14:paraId="33E2D95F">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1.2为规范我院放射工作人员个人剂量监测工作，需要在下一季度前一周时间内，按照我院提供的放射工作人员名单，提供相应的个人剂量，同时，对我院上一季度个人剂量进行监测并出具监测报告，报告数量为一式三份。</w:t>
      </w:r>
    </w:p>
    <w:p w14:paraId="4C95B638">
      <w:pPr>
        <w:numPr>
          <w:ilvl w:val="0"/>
          <w:numId w:val="2"/>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项目具体要求：</w:t>
      </w:r>
    </w:p>
    <w:p w14:paraId="101A639F">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2.1个人剂量计的监测周期每季度一次，全年4次，按时对周期内的个人剂量计出具检测报告，并换取新的个人剂量计。</w:t>
      </w:r>
    </w:p>
    <w:p w14:paraId="15054F8D">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2.2 单年度内个人剂量计数量预估200个（含普通剂量牌和剂量手环）。</w:t>
      </w:r>
    </w:p>
    <w:p w14:paraId="6910DE8B">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2.3履约地点：成都市</w:t>
      </w:r>
    </w:p>
    <w:p w14:paraId="3444CE9A">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潜在供应商所需特殊资质要求</w:t>
      </w:r>
    </w:p>
    <w:p w14:paraId="567C0387">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kern w:val="2"/>
          <w:sz w:val="24"/>
          <w:szCs w:val="32"/>
          <w:lang w:val="en-US" w:eastAsia="zh-CN" w:bidi="ar-SA"/>
        </w:rPr>
        <w:t>1.</w:t>
      </w:r>
      <w:r>
        <w:rPr>
          <w:rFonts w:hint="eastAsia" w:ascii="仿宋_GB2312" w:hAnsi="仿宋_GB2312" w:eastAsia="仿宋_GB2312" w:cs="仿宋_GB2312"/>
          <w:color w:val="auto"/>
          <w:sz w:val="24"/>
          <w:szCs w:val="32"/>
          <w:lang w:val="en-US" w:eastAsia="zh-CN"/>
        </w:rPr>
        <w:t>符合《职业性外照射个人监测规范》（GBZ 128-2019）：</w:t>
      </w:r>
    </w:p>
    <w:p w14:paraId="49B8F490">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1.1明确个人剂量计的佩戴位置（如左胸前或领口）、监测周期（通常1个月，最长3个月）及剂量估算方法。</w:t>
      </w:r>
    </w:p>
    <w:p w14:paraId="1A7220CE">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1.2规定当监测结果接近年剂量限值（5 mSv）时，需进行精确剂量评价12。</w:t>
      </w:r>
    </w:p>
    <w:p w14:paraId="2B847C60">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2.符合《放射工作人员健康要求及监护规范》（GBZ 98—2020）：要求建立终生健康监护档案，与个人剂量档案联动管理，确保数据可追溯。</w:t>
      </w:r>
    </w:p>
    <w:p w14:paraId="5E149A20">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商务要求条款</w:t>
      </w:r>
    </w:p>
    <w:p w14:paraId="0AD92FEF">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1.履约期限：3年；合同一年一签，考评合格后续签一年，最多续签两次；考评不合格可终止合同。</w:t>
      </w:r>
    </w:p>
    <w:p w14:paraId="76E8B857">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w:t>
      </w:r>
      <w:bookmarkStart w:id="0" w:name="_GoBack"/>
      <w:bookmarkEnd w:id="0"/>
      <w:r>
        <w:rPr>
          <w:rFonts w:hint="eastAsia" w:ascii="仿宋_GB2312" w:hAnsi="仿宋_GB2312" w:eastAsia="仿宋_GB2312" w:cs="仿宋_GB2312"/>
          <w:color w:val="auto"/>
          <w:sz w:val="24"/>
          <w:szCs w:val="32"/>
          <w:lang w:val="en-US" w:eastAsia="zh-CN"/>
        </w:rPr>
        <w:t>.付款方式：100%到完成全年监测服务验收后20个工作日内凭验收报告，收款申请单，财务要求的完税发票等文件支付合同货款。</w:t>
      </w:r>
    </w:p>
    <w:p w14:paraId="6271EF98">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验收标准</w:t>
      </w:r>
    </w:p>
    <w:p w14:paraId="2FD1D13B">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验收办法：参照《财政部关于进一步加强政府采购需求和履约验收管理的指导意见》（财库〔2016〕205号）和《政府采购需求管理办法》（财库〔2021〕22号）等相关规定的要求进行验收。（如果有特殊要求可以进行合理的修改或增加）</w:t>
      </w:r>
    </w:p>
    <w:p w14:paraId="6E89672D">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2.验收标准：按国家相关规定及比选文件要求、合同约定标准进行验收。验收时，提供监测报告等相关资料。</w:t>
      </w:r>
    </w:p>
    <w:p w14:paraId="37892026">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41227"/>
    <w:multiLevelType w:val="singleLevel"/>
    <w:tmpl w:val="EBC41227"/>
    <w:lvl w:ilvl="0" w:tentative="0">
      <w:start w:val="1"/>
      <w:numFmt w:val="decimal"/>
      <w:lvlText w:val="%1."/>
      <w:lvlJc w:val="left"/>
      <w:pPr>
        <w:tabs>
          <w:tab w:val="left" w:pos="312"/>
        </w:tabs>
      </w:pPr>
    </w:lvl>
  </w:abstractNum>
  <w:abstractNum w:abstractNumId="1">
    <w:nsid w:val="6F111548"/>
    <w:multiLevelType w:val="singleLevel"/>
    <w:tmpl w:val="6F11154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YzEzYmZlYmUyOTllZDUyODNkMTAwMTgyNDcxODYifQ=="/>
  </w:docVars>
  <w:rsids>
    <w:rsidRoot w:val="00000000"/>
    <w:rsid w:val="00125861"/>
    <w:rsid w:val="00C60EE8"/>
    <w:rsid w:val="03573182"/>
    <w:rsid w:val="044E0E40"/>
    <w:rsid w:val="04716E78"/>
    <w:rsid w:val="047904EC"/>
    <w:rsid w:val="0E0E6B13"/>
    <w:rsid w:val="0F3341F4"/>
    <w:rsid w:val="1658246F"/>
    <w:rsid w:val="21E836BB"/>
    <w:rsid w:val="22FC0050"/>
    <w:rsid w:val="270B2356"/>
    <w:rsid w:val="3019063E"/>
    <w:rsid w:val="33614230"/>
    <w:rsid w:val="346E234B"/>
    <w:rsid w:val="36015455"/>
    <w:rsid w:val="3D844DA7"/>
    <w:rsid w:val="410A2582"/>
    <w:rsid w:val="41EF42DB"/>
    <w:rsid w:val="4358146F"/>
    <w:rsid w:val="44DB760A"/>
    <w:rsid w:val="483B5654"/>
    <w:rsid w:val="49B63741"/>
    <w:rsid w:val="4F400944"/>
    <w:rsid w:val="5129079D"/>
    <w:rsid w:val="55E437E4"/>
    <w:rsid w:val="55F774E9"/>
    <w:rsid w:val="5C432F58"/>
    <w:rsid w:val="5D007F41"/>
    <w:rsid w:val="5DE60340"/>
    <w:rsid w:val="5FAC535B"/>
    <w:rsid w:val="60C05441"/>
    <w:rsid w:val="628F2E23"/>
    <w:rsid w:val="6B4E2541"/>
    <w:rsid w:val="6C2E162F"/>
    <w:rsid w:val="79A003B4"/>
    <w:rsid w:val="7D424210"/>
    <w:rsid w:val="7E337128"/>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1078</Words>
  <Characters>1139</Characters>
  <Lines>0</Lines>
  <Paragraphs>0</Paragraphs>
  <TotalTime>12</TotalTime>
  <ScaleCrop>false</ScaleCrop>
  <LinksUpToDate>false</LinksUpToDate>
  <CharactersWithSpaces>1143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2025-01-13T08:25:00Z</dcterms:created>
  <dc:creator>华西医院</dc:creator>
  <cp:lastModifiedBy>胡钰玲</cp:lastModifiedBy>
  <dcterms:modified xsi:type="dcterms:W3CDTF">2025-11-10T00:38:27Z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3EAE9388057545D585E3C9C309DEF512_12</vt:lpwstr>
  </property>
  <property fmtid="{D5CDD505-2E9C-101B-9397-08002B2CF9AE}" pid="4" name="KSOTemplateDocerSaveRecord">
    <vt:lpwstr>eyJoZGlkIjoiODA0YzEzYmZlYmUyOTllZDUyODNkMTAwMTgyNDcxODYiLCJ1c2VySWQiOiIxNTc0MTg2MjQ1In0=</vt:lpwstr>
  </property>
</Properties>
</file>