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F856C"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四川省第四人民医院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业务用房综合改造项目1600kVA 配电工程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项目采购需求文件</w:t>
      </w:r>
    </w:p>
    <w:p w14:paraId="634A7439">
      <w:pPr>
        <w:numPr>
          <w:ilvl w:val="0"/>
          <w:numId w:val="1"/>
        </w:num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项目申请理由</w:t>
      </w:r>
    </w:p>
    <w:p w14:paraId="29C07C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依据《政府采购法》等规定，为落实业务用房综合改造，申请实施1600kVA配电工程。此举旨在满足改造后新增用电负荷，保障供电安全可靠，同时兼顾经济适用与节能环保，确保项目合规高效推进。</w:t>
      </w:r>
    </w:p>
    <w:p w14:paraId="351BBF8C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项目预算</w:t>
      </w:r>
    </w:p>
    <w:p w14:paraId="280FC76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待定</w:t>
      </w:r>
      <w:bookmarkStart w:id="0" w:name="_GoBack"/>
      <w:bookmarkEnd w:id="0"/>
    </w:p>
    <w:p w14:paraId="6F01F2B5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项目具体要求</w:t>
      </w:r>
    </w:p>
    <w:p w14:paraId="7289B764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（一）供电接入边界</w:t>
      </w:r>
    </w:p>
    <w:p w14:paraId="6D85627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工程实施范围：自 10kV 荔桂路省四医院侧环网柜电源接入点起，至院内两台变压器全部系统，包含区间全部高压设备、材料采购、电气施工全流程。</w:t>
      </w:r>
    </w:p>
    <w:p w14:paraId="6C404B19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不含内容：10kV 摩顺摩照国际商城侧环网柜接入点至医院高压进线柜之间的电缆、通道配套材料及施工。</w:t>
      </w:r>
    </w:p>
    <w:p w14:paraId="67A0BD09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（二）全部包干工作内容</w:t>
      </w:r>
    </w:p>
    <w:p w14:paraId="617438CC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1.前期手续：高压用电报装、供电部门方案图纸深化、施工图审查、各职能部门沟通协调；</w:t>
      </w:r>
    </w:p>
    <w:p w14:paraId="1BF55CD2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2.土建配套：固体绝缘柜设备基础浇筑、电缆沟 / 排管 / 检查井施工、高压区域接地网敷设焊接、接地电阻检测；</w:t>
      </w:r>
    </w:p>
    <w:p w14:paraId="4C66E8AC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3.设备安装：10kV 固体绝缘柜、两台 1600kVA 变压器安装；高压电缆敷设、电缆终端头制作；电缆挂牌、路径标识桩制作安装；</w:t>
      </w:r>
    </w:p>
    <w:p w14:paraId="0CD1D43C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4.全套电气试验：主回路绝缘、交流耐压；断路器特性、继电保护整定校验；变压器全套电气试验；电缆耐压试验；继保传动模拟试验、系统投运核相；</w:t>
      </w:r>
    </w:p>
    <w:p w14:paraId="33E2D95F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5.配套服务：设备采购、场内运输、仓储保管、系统整体调试、验收送电直至供电部门办结送电手续。</w:t>
      </w:r>
    </w:p>
    <w:p w14:paraId="233B8F00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（三）元器件品牌档次要求</w:t>
      </w:r>
    </w:p>
    <w:p w14:paraId="73E319C8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项目高低压成套主要元器件选型档次不得低于下表参考品牌，选用非清单内品牌的，须同步提交完整参数对比表、检测报告证明同等或更高档次，否则方案不予采信。</w:t>
      </w:r>
    </w:p>
    <w:tbl>
      <w:tblPr>
        <w:tblStyle w:val="2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2"/>
        <w:gridCol w:w="2849"/>
        <w:gridCol w:w="5631"/>
      </w:tblGrid>
      <w:tr w14:paraId="08B812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CBF97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64C7FA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元器件名称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09B0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可选参考品牌</w:t>
            </w:r>
          </w:p>
        </w:tc>
      </w:tr>
      <w:tr w14:paraId="787B2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DEBA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6EB43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10kV 户外高压环网柜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AB22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四川万控电气成套有限公司、信一电力设备有限公司、一仁电力设备有限公司</w:t>
            </w:r>
          </w:p>
        </w:tc>
      </w:tr>
      <w:tr w14:paraId="7F57BF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A25A8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E601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零序互感器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95CB6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帕博电力科技有限公司、河南欧曼电气有限公司、上海华明电力设备制造有限公司</w:t>
            </w:r>
          </w:p>
        </w:tc>
      </w:tr>
      <w:tr w14:paraId="57041D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B2161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6122C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真空断路器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DFBB9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木易智能科技（浙江）有限公司、浙江东伽电力科技有限公司、浙江浦泰高压电气有限公司</w:t>
            </w:r>
          </w:p>
        </w:tc>
      </w:tr>
      <w:tr w14:paraId="6793C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CDDF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D895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电流互感器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E098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帕博电力科技有限公司、河南欧曼电气有限公司、上海华明电力设备制造有限公司</w:t>
            </w:r>
          </w:p>
        </w:tc>
      </w:tr>
      <w:tr w14:paraId="1F74ED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4DB5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316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电压互感器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AEC879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河南欧曼电气有限公司、帕博电力科技有限公司、上海华明电力设备制造有限公司</w:t>
            </w:r>
          </w:p>
        </w:tc>
      </w:tr>
      <w:tr w14:paraId="6A84C7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00B3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457AE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熔断器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A190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浙江恩熔电气有限公司、正泰集团股份有限公司、上海电器陶瓷厂有限公司</w:t>
            </w:r>
          </w:p>
        </w:tc>
      </w:tr>
      <w:tr w14:paraId="7885E6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ED3A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21800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避雷器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060A8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浙江浦泰高压电气有限公司、南阳金冠集团有限责任公司、西安西避雷器</w:t>
            </w:r>
          </w:p>
        </w:tc>
      </w:tr>
      <w:tr w14:paraId="66B7FF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F0D16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35B2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隔离开关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D4FAF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木易智能科技（浙江）有限公司、浙江东伽电力科技有限公司、西安西电避雷器有限责任公司</w:t>
            </w:r>
          </w:p>
        </w:tc>
      </w:tr>
      <w:tr w14:paraId="0EBA05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303E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332965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带电显示器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77E1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浙江恩熔电气有限公司、上海华明电力设备制造有限公司、帕博电力科技有限公司</w:t>
            </w:r>
          </w:p>
        </w:tc>
      </w:tr>
      <w:tr w14:paraId="760AE0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8F4D0A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A0EDC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智能除湿器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36598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浙江恩熔电气有限公司、深圳市中电电力技术股份有限公司、安科瑞电气股份有限公司</w:t>
            </w:r>
          </w:p>
        </w:tc>
      </w:tr>
      <w:tr w14:paraId="6C2137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9423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CE89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网络电力仪表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CC439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厦门华通电气有限公司、深圳市中电电力技术股份有限公司、安科瑞电气股份有限公司</w:t>
            </w:r>
          </w:p>
        </w:tc>
      </w:tr>
      <w:tr w14:paraId="444F38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BCF8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C50C1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微机保护装置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600A2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珠海科众技术有限公司、深圳市中电电力技术股份有限公司、安科瑞电气股份有限公司</w:t>
            </w:r>
          </w:p>
        </w:tc>
      </w:tr>
      <w:tr w14:paraId="49A444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A6124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153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D0D46F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直流屏</w:t>
            </w:r>
          </w:p>
        </w:tc>
        <w:tc>
          <w:tcPr>
            <w:tcW w:w="302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2D89F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重庆创思电气有限公司、四川力安科技有限公司、浙江川能电力设备有限公司</w:t>
            </w:r>
          </w:p>
        </w:tc>
      </w:tr>
    </w:tbl>
    <w:p w14:paraId="62F3510E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备注：</w:t>
      </w:r>
      <w:r>
        <w:rPr>
          <w:rFonts w:hint="eastAsia" w:ascii="黑体" w:hAnsi="黑体" w:eastAsia="黑体" w:cs="黑体"/>
          <w:color w:val="auto"/>
          <w:sz w:val="22"/>
          <w:szCs w:val="28"/>
          <w:lang w:val="en-US" w:eastAsia="zh-CN"/>
        </w:rPr>
        <w:t>报价须综合包含设备主材、辅材、人工、机械、试验检测、手续办理、协调、运输、保险、税金、质保、风险等全部费用，除医院书面出具工程变更外，总价不作任何调增。</w:t>
      </w:r>
    </w:p>
    <w:p w14:paraId="1DCBC86A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32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项目人员资质要求</w:t>
      </w:r>
    </w:p>
    <w:p w14:paraId="27B978ED">
      <w:pPr>
        <w:numPr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  <w:t>项目管理人员：拟派项目经理具备机电工程二级及以上注册建造师、有效安全生产考核 B 证，提供近 3 个月社保证明；</w:t>
      </w:r>
    </w:p>
    <w:p w14:paraId="4BCA40E6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32"/>
          <w:lang w:val="en-US" w:eastAsia="zh-CN" w:bidi="ar-SA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履约能力要求</w:t>
      </w:r>
    </w:p>
    <w:p w14:paraId="278778B7">
      <w:pPr>
        <w:numPr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  <w:t>业绩材料：2023 年 1 月至今 10kV 及以上配电改造、变电工程业绩（合同关键页 + 竣工验收证明）</w:t>
      </w:r>
    </w:p>
    <w:p w14:paraId="3444CE9A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潜在供应商所需特殊资质要求</w:t>
      </w:r>
    </w:p>
    <w:p w14:paraId="2B847C60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电力专项资质：具备电力工程施工总承包二级或输变电工程专业承包二级相应资质、有效安全生产许可证；持有承装（修、试）电力设施许可证（五级及以上）；</w:t>
      </w:r>
    </w:p>
    <w:p w14:paraId="5E149A20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商务要求条款</w:t>
      </w:r>
    </w:p>
    <w:p w14:paraId="77DBDF2F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1.售后：整体质保年限、故障响应时效、年度巡检、备品备件保障条款。</w:t>
      </w:r>
    </w:p>
    <w:p w14:paraId="6271EF98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验收标准</w:t>
      </w:r>
    </w:p>
    <w:p w14:paraId="2FD1D13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验收办法：参照《财政部关于进一步加强政府采购需求和履约验收管理的指导意见》（财库〔2016〕205号）和《政府采购需求管理办法》（财库〔2021〕22号）等相关规定的要求进行验收。（如果有特殊要求可以进行合理的修改或增加）</w:t>
      </w:r>
    </w:p>
    <w:p w14:paraId="6E89672D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2.验收标准：按国家相关规定及比选文件要求、合同约定标准进行验收。</w:t>
      </w:r>
    </w:p>
    <w:p w14:paraId="39524EA7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11548"/>
    <w:multiLevelType w:val="singleLevel"/>
    <w:tmpl w:val="6F111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51452"/>
    <w:rsid w:val="0BA33B78"/>
    <w:rsid w:val="11C237B0"/>
    <w:rsid w:val="14E908A9"/>
    <w:rsid w:val="23483E3A"/>
    <w:rsid w:val="240D7F6A"/>
    <w:rsid w:val="26144E58"/>
    <w:rsid w:val="28B765B8"/>
    <w:rsid w:val="2CD66D5E"/>
    <w:rsid w:val="31BB1CA7"/>
    <w:rsid w:val="3E9864F0"/>
    <w:rsid w:val="41401527"/>
    <w:rsid w:val="43D844BC"/>
    <w:rsid w:val="5F081D95"/>
    <w:rsid w:val="68506E59"/>
    <w:rsid w:val="68994393"/>
    <w:rsid w:val="7A2D6FBC"/>
    <w:rsid w:val="7AE9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788</Words>
  <Characters>837</Characters>
  <Lines>0</Lines>
  <Paragraphs>0</Paragraphs>
  <TotalTime>1</TotalTime>
  <ScaleCrop>false</ScaleCrop>
  <LinksUpToDate>false</LinksUpToDate>
  <CharactersWithSpaces>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2025-03-03T02:44:00Z</dcterms:created>
  <dc:creator>华西医院</dc:creator>
  <cp:lastModifiedBy>胡钰玲</cp:lastModifiedBy>
  <dcterms:modified xsi:type="dcterms:W3CDTF">2026-08-13T06:52:54Z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eyJoZGlkIjoiZDgxNmEwYTU3MmJjYzAzMGJiOGUwM2JkNWVjYjNhNDMiLCJ1c2VySWQiOiIxNTc0MTg2MjQ1In0=</vt:lpwstr>
  </property>
  <property fmtid="{D5CDD505-2E9C-101B-9397-08002B2CF9AE}" pid="4" name="ICV">
    <vt:lpwstr>F241FA78EC0E4B5AA37F8A7D074F3663_12</vt:lpwstr>
  </property>
</Properties>
</file>