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EE2AA">
      <w:pPr>
        <w:jc w:val="center"/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四川省第四人民医院春熙院区放射科2026年双电源基础配电箱购置项目采购需求文件</w:t>
      </w:r>
    </w:p>
    <w:p w14:paraId="62EEEBEE">
      <w:pPr>
        <w:numPr>
          <w:ilvl w:val="0"/>
          <w:numId w:val="1"/>
        </w:num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项目申请理由</w:t>
      </w:r>
    </w:p>
    <w:p w14:paraId="2075A920">
      <w:pPr>
        <w:spacing w:line="360" w:lineRule="auto"/>
        <w:ind w:firstLine="480" w:firstLineChars="200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2026年春熙院区进入收尾与配套设施完善阶段，因业务用房综合改造项目对配电线路进行了预留升级，原春熙放射科设备配电箱已无法满足现行技术标准。为保障春熙科放射科的正常运行，机器设备不断电，现需重新开展相关配电箱的采购工作。</w:t>
      </w:r>
    </w:p>
    <w:p w14:paraId="0C8693D6">
      <w:pPr>
        <w:numPr>
          <w:ilvl w:val="0"/>
          <w:numId w:val="1"/>
        </w:num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项目预算</w:t>
      </w:r>
    </w:p>
    <w:p w14:paraId="15E7CC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本项目总预算为2.99万元（含税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包干</w:t>
      </w:r>
      <w:r>
        <w:rPr>
          <w:rFonts w:hint="eastAsia" w:ascii="仿宋_GB2312" w:hAnsi="仿宋_GB2312" w:eastAsia="仿宋_GB2312" w:cs="仿宋_GB2312"/>
          <w:sz w:val="24"/>
          <w:szCs w:val="32"/>
        </w:rPr>
        <w:t>价），报价包含设备采购、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组装、</w:t>
      </w:r>
      <w:r>
        <w:rPr>
          <w:rFonts w:hint="eastAsia" w:ascii="仿宋_GB2312" w:hAnsi="仿宋_GB2312" w:eastAsia="仿宋_GB2312" w:cs="仿宋_GB2312"/>
          <w:sz w:val="24"/>
          <w:szCs w:val="32"/>
        </w:rPr>
        <w:t>运输</w:t>
      </w:r>
      <w:r>
        <w:rPr>
          <w:rFonts w:hint="eastAsia" w:ascii="仿宋_GB2312" w:hAnsi="仿宋_GB2312" w:eastAsia="仿宋_GB2312" w:cs="仿宋_GB2312"/>
          <w:sz w:val="24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32"/>
        </w:rPr>
        <w:t>质保</w:t>
      </w:r>
      <w:r>
        <w:rPr>
          <w:rFonts w:hint="eastAsia" w:ascii="仿宋_GB2312" w:hAnsi="仿宋_GB2312" w:eastAsia="仿宋_GB2312" w:cs="仿宋_GB2312"/>
          <w:sz w:val="24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辅材、现场安装、接线调试等全部费用。</w:t>
      </w:r>
    </w:p>
    <w:p w14:paraId="45FE53C5">
      <w:pPr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配置要求</w:t>
      </w:r>
    </w:p>
    <w:p w14:paraId="2D12F7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24"/>
          <w:szCs w:val="32"/>
        </w:rPr>
        <w:t>春熙院区放射科配电箱仅对相关设备进行基础功能的满足，考虑一定数量的开关预留。DR一个、CT一个、骨密度一个、MRI两个、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口腔科</w:t>
      </w:r>
      <w:r>
        <w:rPr>
          <w:rFonts w:hint="eastAsia" w:ascii="仿宋_GB2312" w:hAnsi="仿宋_GB2312" w:eastAsia="仿宋_GB2312" w:cs="仿宋_GB2312"/>
          <w:sz w:val="24"/>
          <w:szCs w:val="32"/>
        </w:rPr>
        <w:t>一个，相关原理见下图。</w:t>
      </w:r>
    </w:p>
    <w:p w14:paraId="57AAA7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2、开关</w:t>
      </w:r>
      <w:r>
        <w:rPr>
          <w:rFonts w:hint="eastAsia" w:ascii="仿宋_GB2312" w:hAnsi="仿宋_GB2312" w:eastAsia="仿宋_GB2312" w:cs="仿宋_GB2312"/>
          <w:sz w:val="24"/>
          <w:szCs w:val="32"/>
        </w:rPr>
        <w:t xml:space="preserve">预留：医院智慧配电、防火漏电报警等系统本次暂不纳入采购范围，但配电箱内部需预留足够安装空间及接线端子，便于后续系统升级。 </w:t>
      </w:r>
    </w:p>
    <w:p w14:paraId="744BA4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24"/>
          <w:szCs w:val="32"/>
        </w:rPr>
        <w:t>其他要求：配电箱材质需采用不小于1.5mm厚冷轧钢板，表面静电喷塑，防护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 xml:space="preserve">等级不低于IP30；内部电气元件需选用国内一线品牌，双电源切换装置切换时间不大于2s，满足医疗设备不间断供电要求。 </w:t>
      </w:r>
    </w:p>
    <w:p w14:paraId="1E466B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sectPr>
          <w:pgSz w:w="11906" w:h="16838"/>
          <w:pgMar w:top="1440" w:right="1417" w:bottom="1440" w:left="1417" w:header="851" w:footer="992" w:gutter="0"/>
          <w:cols w:space="425" w:num="1"/>
          <w:docGrid w:type="lines" w:linePitch="312" w:charSpace="0"/>
        </w:sectPr>
      </w:pPr>
    </w:p>
    <w:p w14:paraId="53C058F2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32"/>
        </w:rPr>
      </w:pPr>
    </w:p>
    <w:p w14:paraId="11A25645">
      <w:pPr>
        <w:spacing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z w:val="32"/>
          <w:szCs w:val="32"/>
        </w:rPr>
        <w:drawing>
          <wp:inline distT="0" distB="0" distL="114300" distR="114300">
            <wp:extent cx="5572125" cy="8454390"/>
            <wp:effectExtent l="0" t="0" r="9525" b="3810"/>
            <wp:docPr id="3" name="图片 3" descr="20260730四医院补充双电源箱柜初稿3(3)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60730四医院补充双电源箱柜初稿3(3)_00"/>
                    <pic:cNvPicPr>
                      <a:picLocks noChangeAspect="1"/>
                    </pic:cNvPicPr>
                  </pic:nvPicPr>
                  <pic:blipFill>
                    <a:blip r:embed="rId4"/>
                    <a:srcRect l="9473" t="6197" r="7356" b="4599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845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95D77">
      <w:pPr>
        <w:spacing w:line="360" w:lineRule="auto"/>
        <w:rPr>
          <w:rFonts w:ascii="黑体" w:hAnsi="黑体" w:eastAsia="黑体" w:cs="黑体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3317875</wp:posOffset>
                </wp:positionH>
                <wp:positionV relativeFrom="paragraph">
                  <wp:posOffset>8373745</wp:posOffset>
                </wp:positionV>
                <wp:extent cx="2101215" cy="20955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217670" y="9288145"/>
                          <a:ext cx="2101215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DB1B6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1.25pt;margin-top:659.35pt;height:16.5pt;width:165.45pt;z-index:251659264;mso-width-relative:page;mso-height-relative:page;" fillcolor="#FFFFFF [3212]" filled="t" stroked="f" coordsize="21600,21600" o:gfxdata="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gon/&#10;7dcAAAANAQAADwAAAAAAAAABACAAAAAiAAAAZHJzL2Rvd25yZXYueG1sUEsBAhQAFAAAAAgAh07i&#10;QAyNkqtcAgAAmwQAAA4AAAAAAAAAAQAgAAAAJg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0DB1B67"/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 w:cs="黑体"/>
          <w:sz w:val="32"/>
          <w:szCs w:val="32"/>
        </w:rPr>
        <w:drawing>
          <wp:inline distT="0" distB="0" distL="114300" distR="114300">
            <wp:extent cx="5491480" cy="8533130"/>
            <wp:effectExtent l="0" t="0" r="13970" b="1270"/>
            <wp:docPr id="4" name="图片 4" descr="20260730四医院补充双电源箱柜初稿3(3)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60730四医院补充双电源箱柜初稿3(3)_01"/>
                    <pic:cNvPicPr>
                      <a:picLocks noChangeAspect="1"/>
                    </pic:cNvPicPr>
                  </pic:nvPicPr>
                  <pic:blipFill>
                    <a:blip r:embed="rId5"/>
                    <a:srcRect l="9903" t="4506" r="7576" b="4849"/>
                    <a:stretch>
                      <a:fillRect/>
                    </a:stretch>
                  </pic:blipFill>
                  <pic:spPr>
                    <a:xfrm>
                      <a:off x="0" y="0"/>
                      <a:ext cx="5491480" cy="853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68453">
      <w:pPr>
        <w:numPr>
          <w:ilvl w:val="0"/>
          <w:numId w:val="1"/>
        </w:num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潜在供应商所需特殊资质要求</w:t>
      </w:r>
    </w:p>
    <w:p w14:paraId="06DC10BA">
      <w:pPr>
        <w:spacing w:line="360" w:lineRule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无</w:t>
      </w:r>
    </w:p>
    <w:p w14:paraId="41458DD3">
      <w:pPr>
        <w:numPr>
          <w:ilvl w:val="0"/>
          <w:numId w:val="1"/>
        </w:num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商务要求条款</w:t>
      </w:r>
    </w:p>
    <w:p w14:paraId="3DCCEE8D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1</w:t>
      </w:r>
      <w:r>
        <w:rPr>
          <w:rFonts w:hint="eastAsia" w:ascii="仿宋_GB2312" w:hAnsi="仿宋_GB2312" w:eastAsia="仿宋_GB2312" w:cs="仿宋_GB2312"/>
          <w:sz w:val="24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32"/>
        </w:rPr>
        <w:t xml:space="preserve">交货及工期要求： </w:t>
      </w:r>
    </w:p>
    <w:p w14:paraId="581227DB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 xml:space="preserve">交货期：合同签订后15个日历天内将设备运送至采购人指定地点； </w:t>
      </w:r>
    </w:p>
    <w:p w14:paraId="5E470BC0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 xml:space="preserve">安装调试期：设备到场后7个日历天内完成安装、接线及调试，具备验收条件。 </w:t>
      </w:r>
    </w:p>
    <w:p w14:paraId="36E75EC4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2</w:t>
      </w:r>
      <w:r>
        <w:rPr>
          <w:rFonts w:hint="eastAsia" w:ascii="仿宋_GB2312" w:hAnsi="仿宋_GB2312" w:eastAsia="仿宋_GB2312" w:cs="仿宋_GB2312"/>
          <w:sz w:val="24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32"/>
        </w:rPr>
        <w:t xml:space="preserve">质保期：自竣工验收合格之日起1年。质保期内出现非人为损坏的质量问题，供应商需在接到通知后24小时内到场维修，免费更换故障部件；质保期后提供终身维修服务，仅收取成本费。 </w:t>
      </w:r>
    </w:p>
    <w:p w14:paraId="786CC216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3</w:t>
      </w:r>
      <w:r>
        <w:rPr>
          <w:rFonts w:hint="eastAsia" w:ascii="仿宋_GB2312" w:hAnsi="仿宋_GB2312" w:eastAsia="仿宋_GB2312" w:cs="仿宋_GB2312"/>
          <w:sz w:val="24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24"/>
          <w:szCs w:val="32"/>
        </w:rPr>
        <w:t xml:space="preserve">付款方式： </w:t>
      </w:r>
    </w:p>
    <w:p w14:paraId="7792D6B7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 xml:space="preserve">第一期：合同签订生效后，供应商提交等额合法增值税发票后10个工作日内，支付合同总金额的20%； </w:t>
      </w:r>
    </w:p>
    <w:p w14:paraId="2CEF3C2F">
      <w:pPr>
        <w:spacing w:line="360" w:lineRule="auto"/>
        <w:rPr>
          <w:rFonts w:hint="eastAsia"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 xml:space="preserve">第二期：项目竣工验收合格，供应商提交剩余全额合法增值税发票后10个工作日内，支付合同总金额的80%。 </w:t>
      </w:r>
    </w:p>
    <w:p w14:paraId="2BB8E4FF">
      <w:pPr>
        <w:numPr>
          <w:ilvl w:val="0"/>
          <w:numId w:val="1"/>
        </w:num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验收标准</w:t>
      </w:r>
    </w:p>
    <w:p w14:paraId="3C77E408">
      <w:pPr>
        <w:spacing w:line="360" w:lineRule="auto"/>
        <w:rPr>
          <w:rFonts w:ascii="仿宋_GB2312" w:hAnsi="仿宋_GB2312" w:eastAsia="仿宋_GB2312" w:cs="仿宋_GB2312"/>
          <w:sz w:val="24"/>
          <w:szCs w:val="32"/>
        </w:rPr>
      </w:pPr>
      <w:r>
        <w:rPr>
          <w:rFonts w:hint="eastAsia" w:ascii="仿宋_GB2312" w:hAnsi="仿宋_GB2312" w:eastAsia="仿宋_GB2312" w:cs="仿宋_GB2312"/>
          <w:sz w:val="24"/>
          <w:szCs w:val="32"/>
        </w:rPr>
        <w:t>1.验收</w:t>
      </w:r>
      <w:r>
        <w:rPr>
          <w:rFonts w:hint="eastAsia" w:ascii="仿宋_GB2312" w:hAnsi="仿宋_GB2312" w:eastAsia="仿宋_GB2312" w:cs="仿宋_GB2312"/>
          <w:sz w:val="24"/>
          <w:szCs w:val="32"/>
          <w:lang w:val="en-US" w:eastAsia="zh-CN"/>
        </w:rPr>
        <w:t>标准</w:t>
      </w:r>
      <w:r>
        <w:rPr>
          <w:rFonts w:hint="eastAsia" w:ascii="仿宋_GB2312" w:hAnsi="仿宋_GB2312" w:eastAsia="仿宋_GB2312" w:cs="仿宋_GB2312"/>
          <w:sz w:val="24"/>
          <w:szCs w:val="32"/>
        </w:rPr>
        <w:t>：依据《建筑电气工程施工质量验收规范》（GB 50303-2015）等相关国家标准执行。</w:t>
      </w:r>
    </w:p>
    <w:p w14:paraId="71C6BDF5"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3FE5E76-6DC9-4894-A359-71671C3F664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24782F35-0D60-485A-B072-D9AF661DF68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70DB654-12C6-4A2E-8CDA-53D17511869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111548"/>
    <w:multiLevelType w:val="singleLevel"/>
    <w:tmpl w:val="6F11154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6E8"/>
    <w:rsid w:val="008C0E33"/>
    <w:rsid w:val="00AD26E8"/>
    <w:rsid w:val="00AF173F"/>
    <w:rsid w:val="05351452"/>
    <w:rsid w:val="09255BD3"/>
    <w:rsid w:val="11C237B0"/>
    <w:rsid w:val="18890705"/>
    <w:rsid w:val="1D6B7EB8"/>
    <w:rsid w:val="231A5286"/>
    <w:rsid w:val="23483E3A"/>
    <w:rsid w:val="240D7F6A"/>
    <w:rsid w:val="2CD66D5E"/>
    <w:rsid w:val="32E061B3"/>
    <w:rsid w:val="3AA423E2"/>
    <w:rsid w:val="3E0842D1"/>
    <w:rsid w:val="3E9864F0"/>
    <w:rsid w:val="401A2AFF"/>
    <w:rsid w:val="41401527"/>
    <w:rsid w:val="43D844BC"/>
    <w:rsid w:val="4AA51433"/>
    <w:rsid w:val="51A972BA"/>
    <w:rsid w:val="5F081D95"/>
    <w:rsid w:val="68994393"/>
    <w:rsid w:val="6A2075F6"/>
    <w:rsid w:val="6D441A72"/>
    <w:rsid w:val="753654BE"/>
    <w:rsid w:val="7AE9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19"/>
    <w:qFormat/>
    <w:uiPriority w:val="0"/>
    <w:pPr>
      <w:jc w:val="left"/>
    </w:pPr>
  </w:style>
  <w:style w:type="paragraph" w:styleId="6">
    <w:name w:val="Balloon Text"/>
    <w:basedOn w:val="1"/>
    <w:link w:val="16"/>
    <w:qFormat/>
    <w:uiPriority w:val="0"/>
    <w:rPr>
      <w:sz w:val="18"/>
      <w:szCs w:val="18"/>
    </w:rPr>
  </w:style>
  <w:style w:type="paragraph" w:styleId="7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annotation subject"/>
    <w:basedOn w:val="5"/>
    <w:next w:val="5"/>
    <w:link w:val="20"/>
    <w:qFormat/>
    <w:uiPriority w:val="0"/>
    <w:rPr>
      <w:b/>
      <w:bCs/>
    </w:r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Emphasis"/>
    <w:basedOn w:val="12"/>
    <w:qFormat/>
    <w:uiPriority w:val="0"/>
    <w:rPr>
      <w:i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character" w:customStyle="1" w:styleId="16">
    <w:name w:val="批注框文本 Char"/>
    <w:basedOn w:val="12"/>
    <w:link w:val="6"/>
    <w:qFormat/>
    <w:uiPriority w:val="0"/>
    <w:rPr>
      <w:kern w:val="2"/>
      <w:sz w:val="18"/>
      <w:szCs w:val="18"/>
    </w:rPr>
  </w:style>
  <w:style w:type="character" w:customStyle="1" w:styleId="17">
    <w:name w:val="页眉 Char"/>
    <w:basedOn w:val="12"/>
    <w:link w:val="8"/>
    <w:qFormat/>
    <w:uiPriority w:val="0"/>
    <w:rPr>
      <w:kern w:val="2"/>
      <w:sz w:val="18"/>
      <w:szCs w:val="18"/>
    </w:rPr>
  </w:style>
  <w:style w:type="character" w:customStyle="1" w:styleId="18">
    <w:name w:val="页脚 Char"/>
    <w:basedOn w:val="12"/>
    <w:link w:val="7"/>
    <w:qFormat/>
    <w:uiPriority w:val="0"/>
    <w:rPr>
      <w:kern w:val="2"/>
      <w:sz w:val="18"/>
      <w:szCs w:val="18"/>
    </w:rPr>
  </w:style>
  <w:style w:type="character" w:customStyle="1" w:styleId="19">
    <w:name w:val="批注文字 Char"/>
    <w:basedOn w:val="12"/>
    <w:link w:val="5"/>
    <w:qFormat/>
    <w:uiPriority w:val="0"/>
    <w:rPr>
      <w:kern w:val="2"/>
      <w:sz w:val="21"/>
      <w:szCs w:val="24"/>
    </w:rPr>
  </w:style>
  <w:style w:type="character" w:customStyle="1" w:styleId="20">
    <w:name w:val="批注主题 Char"/>
    <w:basedOn w:val="19"/>
    <w:link w:val="10"/>
    <w:qFormat/>
    <w:uiPriority w:val="0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756</Words>
  <Characters>796</Characters>
  <Lines>3</Lines>
  <Paragraphs>1</Paragraphs>
  <TotalTime>8</TotalTime>
  <ScaleCrop>false</ScaleCrop>
  <LinksUpToDate>false</LinksUpToDate>
  <CharactersWithSpaces>806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2025-03-03T02:44:00Z</dcterms:created>
  <dc:creator>华西医院</dc:creator>
  <cp:lastModifiedBy>胡钰玲</cp:lastModifiedBy>
  <dcterms:modified xsi:type="dcterms:W3CDTF">2026-08-20T01:03:57Z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eyJoZGlkIjoiZDgxNmEwYTU3MmJjYzAzMGJiOGUwM2JkNWVjYjNhNDMiLCJ1c2VySWQiOiIxNTc0MTg2MjQ1In0=</vt:lpwstr>
  </property>
  <property fmtid="{D5CDD505-2E9C-101B-9397-08002B2CF9AE}" pid="4" name="ICV">
    <vt:lpwstr>F241FA78EC0E4B5AA37F8A7D074F3663_12</vt:lpwstr>
  </property>
</Properties>
</file>