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3A170"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四川省第四人民医院医用耗材SPD建设及运营服务采购项目采购需求文件</w:t>
      </w:r>
    </w:p>
    <w:p w14:paraId="7DD847AD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项目申请理由</w:t>
      </w:r>
    </w:p>
    <w:p w14:paraId="0F09B13E">
      <w:pPr>
        <w:spacing w:line="360" w:lineRule="auto"/>
        <w:ind w:firstLine="480" w:firstLineChars="200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为继续推进医院物资供应链数字化、专业化建设，规范医用耗材全生命周期管理，有效控制运营成本，提升临床保障效率，拟遴选一家SPD供应链服务商开展院内医用耗材一体化运营服务。</w:t>
      </w:r>
    </w:p>
    <w:p w14:paraId="0B836513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项目预算</w:t>
      </w:r>
    </w:p>
    <w:p w14:paraId="2DC96F29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无（支付方非本院）</w:t>
      </w:r>
    </w:p>
    <w:p w14:paraId="63E3279C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技术服务要求</w:t>
      </w:r>
    </w:p>
    <w:p w14:paraId="22CE9776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（一）平台建设</w:t>
      </w:r>
    </w:p>
    <w:p w14:paraId="15665FAF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、软件建设：根据医院实际耗材运营情况，搭建一套满足医院实际需求的耗材、试剂SPD服务管理系统，其中包含院外供应商协同管理系统、SPD院内系统、综合报表系统的SPD系统软件等。系统软件能够与医院原有HIS/HRP系统，能够与相关医药平台实现无缝连接，并承担所需接口费用及日常维护。该平台要有在三级医院实施完整SPD的成功案例，实现医院耗材从采购到使用计费和供应商结算的全流程闭环管理。院内耗材运营数据实时展现在综合报表系统内，起到辅助医院耗材管理决策的作用。</w:t>
      </w:r>
      <w:r>
        <w:rPr>
          <w:rFonts w:hint="eastAsia" w:ascii="仿宋_GB2312" w:hAnsi="仿宋_GB2312" w:eastAsia="仿宋_GB2312" w:cs="仿宋_GB2312"/>
          <w:sz w:val="24"/>
          <w:szCs w:val="32"/>
        </w:rPr>
        <w:t>全部业务数据所有权归属于采购人，医院拥有全部数据查看、导出、备份权限；服务商不得私自导出、外传医院业务数据。</w:t>
      </w:r>
    </w:p>
    <w:p w14:paraId="019CD3CD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、硬件建设：建设医院中心库，满足耗材、试剂验收、存储、加工、院内运输等要求。根据医院各科室耗材管理特点为医院耗材消耗点提供智能柜、智能货架、智能耗材屋等，实现全院耗材智能化管理。中心库所需场地及设施由运营商在院内建设，相关的电脑、扫描、打印等硬件设备由运营商负责配置，</w:t>
      </w:r>
      <w:r>
        <w:rPr>
          <w:rFonts w:hint="eastAsia" w:ascii="仿宋_GB2312" w:hAnsi="仿宋_GB2312" w:eastAsia="仿宋_GB2312" w:cs="仿宋_GB2312"/>
          <w:sz w:val="24"/>
          <w:szCs w:val="32"/>
        </w:rPr>
        <w:t>服务商严格限定在医院提供场地范围内开展作业，负责作业区域消防安全、环境卫生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32"/>
        </w:rPr>
        <w:t>医院免费向运营商提供二级耗材库、各类耗材智能库的建设场地及运维人员办公场所。硬件设备出现故障服务商须在规定时限完成维修或更换；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</w:rPr>
        <w:t>服务合同到期或提前终止，所有由服务商投入的硬件设备由服务商自行拆除搬离，恢复场地原状，医院不予接收；若医院另有采购意向，双方另行协商。</w:t>
      </w:r>
    </w:p>
    <w:p w14:paraId="1BB88E78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.本项目包括所有涉及与第三方系统的接口开发（含第三方接口费用，医院只负责协调）。模块或功能如有缺失，应在项目建设过程中按照医院要求进行开发或功能增加，所有费用由运营商承担。并根据医院耗材管理水平及运营水平，持续系统升级。</w:t>
      </w:r>
    </w:p>
    <w:p w14:paraId="5DE6562E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（二）平台运营</w:t>
      </w:r>
    </w:p>
    <w:p w14:paraId="144B0C0F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.运营体系：根据医院耗材实际运营现状为医院构建运营服务体系，并派驻具备相应资质及经验的专业团队人员，熟悉医院环境、满足医院耗材运营管理要求，为医院物流管理提供服务。运营服务场景包括中心库、院内运输、耗材各级消耗点（包含临床科室、手术室、介入室、检验科、供应室等站点和分院区及本院区服务期内新增科室站点）等。</w:t>
      </w:r>
    </w:p>
    <w:p w14:paraId="4FC04F4A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2.日常运营：耗材需求发送、耗材验收、耗材加工、临床耗材使用保障、</w:t>
      </w:r>
      <w:r>
        <w:rPr>
          <w:rFonts w:hint="eastAsia" w:ascii="仿宋_GB2312" w:hAnsi="仿宋_GB2312" w:eastAsia="仿宋_GB2312" w:cs="仿宋_GB2312"/>
          <w:sz w:val="24"/>
          <w:szCs w:val="32"/>
        </w:rPr>
        <w:t>耗材效期预警管理、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高值耗材</w:t>
      </w:r>
      <w:r>
        <w:rPr>
          <w:rFonts w:hint="eastAsia" w:ascii="仿宋_GB2312" w:hAnsi="仿宋_GB2312" w:eastAsia="仿宋_GB2312" w:cs="仿宋_GB2312"/>
          <w:sz w:val="24"/>
          <w:szCs w:val="32"/>
        </w:rPr>
        <w:t>一物一码追溯管理、</w:t>
      </w:r>
      <w:r>
        <w:rPr>
          <w:rFonts w:hint="eastAsia" w:ascii="仿宋_GB2312" w:hAnsi="仿宋_GB2312" w:eastAsia="仿宋_GB2312" w:cs="仿宋_GB2312"/>
          <w:sz w:val="24"/>
          <w:szCs w:val="32"/>
        </w:rPr>
        <w:t>耗材消耗日常清点工作、软硬件日常维护工作、医院耗材对账及科室耗材成本核算、耗材供应商对账及结算等。</w:t>
      </w:r>
    </w:p>
    <w:p w14:paraId="2F657499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（三）服务费用</w:t>
      </w:r>
    </w:p>
    <w:p w14:paraId="2F32E193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服务商根据服务方案提供费用解决方案。</w:t>
      </w:r>
    </w:p>
    <w:p w14:paraId="4D64624C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潜在供应商所需特殊资质要求</w:t>
      </w:r>
    </w:p>
    <w:p w14:paraId="6AEDF2F8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1.服务商资质（经营许可证、营业执照、税务登记证、组织机构代码证）；</w:t>
      </w:r>
    </w:p>
    <w:p w14:paraId="56C7C425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2.SPD系统生产厂家资质（生产开发许可证、营业执照、税务登记证、组织机构代码证、软件著作权登记证书、授权（只能授权给一家服务商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32"/>
        </w:rPr>
        <w:t>若投标人非软件著作权单位，须提供软件著作权人完整有效项目授权书，保障本项目完整使用、二次开发权利。））；</w:t>
      </w:r>
    </w:p>
    <w:p w14:paraId="544529AC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商务要求条款</w:t>
      </w:r>
    </w:p>
    <w:p w14:paraId="4423F224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.服务期限：本项目服务总期限为3年，合同实行一年一签。首次合同服务期为1年；在每年服务期满且经采购人考评合格的前提下，可续签下一年度合同，每次续签期限为1年，最多可续签2次。若任一年度考评不合格，采购人有权不再续签，合同自动终止。</w:t>
      </w:r>
      <w:r>
        <w:rPr>
          <w:rFonts w:hint="eastAsia" w:ascii="仿宋_GB2312" w:hAnsi="仿宋_GB2312" w:eastAsia="仿宋_GB2312" w:cs="仿宋_GB2312"/>
          <w:sz w:val="24"/>
          <w:szCs w:val="32"/>
        </w:rPr>
        <w:t>无论何种原因合同终止，服务商须配合采购人完成不少于 3 个月的平稳过渡交接，保障医院耗材供应链连续运行，过渡期服务商仍需按原标准提供全部运营服务。</w:t>
      </w:r>
    </w:p>
    <w:p w14:paraId="355BAEDB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2.服务费结算方式：向医院耗材供应商收取服务费，服务费率不超过医院耗材采购金额的3%。{结算金额=耗材配送方实际供应配送金额*成交服务费率（%）}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</w:rPr>
        <w:t>项目不改变医院原有耗材供应商准入、遴选、采购、结算体系，医院不强制耗材供应商向 SPD 服务商缴纳服务费；耗材供应商自愿选择接受 SPD 服务并支付服务费，不得将缴纳 SPD 服务费作为耗材入库、验收、结算的前置条件</w:t>
      </w:r>
      <w:r>
        <w:rPr>
          <w:rFonts w:hint="eastAsia" w:ascii="仿宋_GB2312" w:hAnsi="仿宋_GB2312" w:eastAsia="仿宋_GB2312" w:cs="仿宋_GB2312"/>
          <w:sz w:val="24"/>
          <w:szCs w:val="32"/>
        </w:rPr>
        <w:t>。</w:t>
      </w:r>
    </w:p>
    <w:p w14:paraId="49B5D95D"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3、</w:t>
      </w:r>
      <w:r>
        <w:rPr>
          <w:rFonts w:hint="eastAsia" w:ascii="仿宋_GB2312" w:hAnsi="仿宋_GB2312" w:eastAsia="仿宋_GB2312" w:cs="仿宋_GB2312"/>
          <w:kern w:val="2"/>
          <w:sz w:val="24"/>
          <w:szCs w:val="32"/>
        </w:rPr>
        <w:t>院内全部耗材业务、消耗、临床使用数据所有权归医院所有</w:t>
      </w:r>
      <w:r>
        <w:rPr>
          <w:rFonts w:hint="eastAsia" w:ascii="仿宋_GB2312" w:hAnsi="仿宋_GB2312" w:eastAsia="仿宋_GB2312" w:cs="仿宋_GB2312"/>
          <w:kern w:val="2"/>
          <w:sz w:val="24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kern w:val="2"/>
          <w:sz w:val="24"/>
          <w:szCs w:val="32"/>
        </w:rPr>
        <w:t>服务商仅为本项目运营目的使用数据，不得采集、存储医生个人开单、临床使用明细用于项目外用途；不得向任何第三方泄露、出售、提供数据；禁止商业统方；系统日志完整留存，接受医院、纪检不定期审计核查；服务到期全部业务数据完整移交医院，服务商不得留存副本</w:t>
      </w:r>
    </w:p>
    <w:p w14:paraId="645C6560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4、服务商仅提供院内 SPD 运营、仓储、物流、系统运维服务；耗材供应商准入、采购遴选、议价、合同签订、供应商考核全部由医院自主行使，服务商不得干预、不得设置门槛。</w:t>
      </w:r>
    </w:p>
    <w:p w14:paraId="577C06EB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验收标准</w:t>
      </w:r>
    </w:p>
    <w:p w14:paraId="552AFACB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.验收办法：参照《财政部关于进一步加强政府采购需求和履约验收管理的指导意见》（财库〔2016〕205号）和《政府采购需求管理办法》（财库〔2021〕22号）等相关规定的要求进行验收。（如果有特殊要求可以进行合理的修改或增加）</w:t>
      </w:r>
    </w:p>
    <w:p w14:paraId="0498ECE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2.验收标准：按国家相关规定及比选文件要求、合同约定标准进行验收。</w:t>
      </w: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BF0782-D4C9-4F43-9D27-3796FAC495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3E50179-7999-476F-83BC-F5AA098544A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95A7C13-A90F-448A-9322-CF0D8D12E6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11548"/>
    <w:multiLevelType w:val="singleLevel"/>
    <w:tmpl w:val="6F111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C5"/>
    <w:rsid w:val="00176CC5"/>
    <w:rsid w:val="00251013"/>
    <w:rsid w:val="004F5844"/>
    <w:rsid w:val="0110772B"/>
    <w:rsid w:val="05351452"/>
    <w:rsid w:val="0CC12852"/>
    <w:rsid w:val="11C237B0"/>
    <w:rsid w:val="12BB6A51"/>
    <w:rsid w:val="130850A2"/>
    <w:rsid w:val="189D1688"/>
    <w:rsid w:val="1A0F772D"/>
    <w:rsid w:val="1FD85E4C"/>
    <w:rsid w:val="23483E3A"/>
    <w:rsid w:val="240D7F6A"/>
    <w:rsid w:val="250178AF"/>
    <w:rsid w:val="2CD66D5E"/>
    <w:rsid w:val="2F596CE6"/>
    <w:rsid w:val="3E9864F0"/>
    <w:rsid w:val="406811F1"/>
    <w:rsid w:val="412E3ADE"/>
    <w:rsid w:val="41401527"/>
    <w:rsid w:val="43D844BC"/>
    <w:rsid w:val="46652317"/>
    <w:rsid w:val="5260668E"/>
    <w:rsid w:val="5263576E"/>
    <w:rsid w:val="5AE01774"/>
    <w:rsid w:val="5F081D95"/>
    <w:rsid w:val="64845814"/>
    <w:rsid w:val="68994393"/>
    <w:rsid w:val="6C225F57"/>
    <w:rsid w:val="7A332E07"/>
    <w:rsid w:val="7AE9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jc w:val="left"/>
    </w:p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iPriority w:val="0"/>
    <w:rPr>
      <w:b/>
      <w:bCs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annotation reference"/>
    <w:basedOn w:val="8"/>
    <w:uiPriority w:val="0"/>
    <w:rPr>
      <w:sz w:val="21"/>
      <w:szCs w:val="21"/>
    </w:rPr>
  </w:style>
  <w:style w:type="character" w:customStyle="1" w:styleId="11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uiPriority w:val="0"/>
    <w:rPr>
      <w:kern w:val="2"/>
      <w:sz w:val="18"/>
      <w:szCs w:val="18"/>
    </w:rPr>
  </w:style>
  <w:style w:type="character" w:customStyle="1" w:styleId="13">
    <w:name w:val="批注文字 Char"/>
    <w:basedOn w:val="8"/>
    <w:link w:val="2"/>
    <w:uiPriority w:val="0"/>
    <w:rPr>
      <w:kern w:val="2"/>
      <w:sz w:val="21"/>
      <w:szCs w:val="24"/>
    </w:rPr>
  </w:style>
  <w:style w:type="character" w:customStyle="1" w:styleId="14">
    <w:name w:val="批注主题 Char"/>
    <w:basedOn w:val="13"/>
    <w:link w:val="6"/>
    <w:uiPriority w:val="0"/>
    <w:rPr>
      <w:b/>
      <w:bCs/>
      <w:kern w:val="2"/>
      <w:sz w:val="21"/>
      <w:szCs w:val="24"/>
    </w:rPr>
  </w:style>
  <w:style w:type="character" w:customStyle="1" w:styleId="15">
    <w:name w:val="批注框文本 Char"/>
    <w:basedOn w:val="8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827</Words>
  <Characters>846</Characters>
  <Lines>10</Lines>
  <Paragraphs>2</Paragraphs>
  <TotalTime>7</TotalTime>
  <ScaleCrop>false</ScaleCrop>
  <LinksUpToDate>false</LinksUpToDate>
  <CharactersWithSpaces>846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2025-03-03T02:44:00Z</dcterms:created>
  <dc:creator>华西医院</dc:creator>
  <cp:lastModifiedBy>舒春林</cp:lastModifiedBy>
  <dcterms:modified xsi:type="dcterms:W3CDTF">2026-08-24T00:39:52Z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eyJoZGlkIjoiZDgxNmEwYTU3MmJjYzAzMGJiOGUwM2JkNWVjYjNhNDMiLCJ1c2VySWQiOiIxNTc0MTg2MjQ1In0=</vt:lpwstr>
  </property>
  <property fmtid="{D5CDD505-2E9C-101B-9397-08002B2CF9AE}" pid="4" name="ICV">
    <vt:lpwstr>0BD7B25D622C4E9A8536E9559F5B8123_13</vt:lpwstr>
  </property>
</Properties>
</file>