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53F856C">
      <w:pPr>
        <w:jc w:val="center"/>
      </w:pPr>
      <w:r>
        <w:rPr>
          <w:rFonts w:hint="eastAsia" w:ascii="方正小标宋简体" w:hAnsi="方正小标宋简体" w:eastAsia="方正小标宋简体" w:cs="方正小标宋简体"/>
          <w:sz w:val="44"/>
          <w:szCs w:val="44"/>
        </w:rPr>
        <w:t>四川省第四人民医院互联网+医废监管项目维保服务项目采购需求文件</w:t>
      </w:r>
    </w:p>
    <w:p w14:paraId="634A7439">
      <w:pPr>
        <w:numPr>
          <w:ilvl w:val="0"/>
          <w:numId w:val="1"/>
        </w:numPr>
        <w:rPr>
          <w:rFonts w:ascii="黑体" w:hAnsi="黑体" w:eastAsia="黑体" w:cs="黑体"/>
          <w:sz w:val="32"/>
          <w:szCs w:val="32"/>
        </w:rPr>
      </w:pPr>
      <w:r>
        <w:rPr>
          <w:rFonts w:hint="eastAsia" w:ascii="黑体" w:hAnsi="黑体" w:eastAsia="黑体" w:cs="黑体"/>
          <w:sz w:val="32"/>
          <w:szCs w:val="32"/>
        </w:rPr>
        <w:t>项目申请理由</w:t>
      </w:r>
    </w:p>
    <w:p w14:paraId="2693E24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仿宋_GB2312" w:hAnsi="仿宋_GB2312" w:eastAsia="仿宋_GB2312" w:cs="仿宋_GB2312"/>
          <w:sz w:val="24"/>
          <w:szCs w:val="32"/>
        </w:rPr>
      </w:pPr>
      <w:r>
        <w:rPr>
          <w:rFonts w:hint="eastAsia" w:ascii="仿宋_GB2312" w:hAnsi="仿宋_GB2312" w:eastAsia="仿宋_GB2312" w:cs="仿宋_GB2312"/>
          <w:sz w:val="24"/>
          <w:szCs w:val="32"/>
        </w:rPr>
        <w:t>根据四川省卫生和计划生育监督执法总队文件《川卫监总函〔2020〕34号关于加强医疗废物在线监督管理工作的通知》要求，二级以上的医疗机构要医疗废物全面接入四川省医疗废物在线监管系统，实现医疗废物的在线监管，医院通过招标的方式，采购了医废智能收集设备，现两台设备维保都已到期，需要采购维护服务，以保障医废智能收集设备的正常运行。</w:t>
      </w:r>
    </w:p>
    <w:p w14:paraId="351BBF8C">
      <w:pPr>
        <w:numPr>
          <w:ilvl w:val="0"/>
          <w:numId w:val="1"/>
        </w:numPr>
        <w:rPr>
          <w:rFonts w:ascii="黑体" w:hAnsi="黑体" w:eastAsia="黑体" w:cs="黑体"/>
          <w:sz w:val="32"/>
          <w:szCs w:val="32"/>
        </w:rPr>
      </w:pPr>
      <w:r>
        <w:rPr>
          <w:rFonts w:hint="eastAsia" w:ascii="黑体" w:hAnsi="黑体" w:eastAsia="黑体" w:cs="黑体"/>
          <w:sz w:val="32"/>
          <w:szCs w:val="32"/>
        </w:rPr>
        <w:t>项目既往情况</w:t>
      </w:r>
    </w:p>
    <w:p w14:paraId="280FC763">
      <w:pPr>
        <w:spacing w:line="360" w:lineRule="auto"/>
        <w:ind w:firstLine="480" w:firstLineChars="200"/>
        <w:rPr>
          <w:rFonts w:ascii="仿宋_GB2312" w:hAnsi="仿宋_GB2312" w:eastAsia="仿宋_GB2312" w:cs="仿宋_GB2312"/>
          <w:sz w:val="24"/>
          <w:szCs w:val="32"/>
        </w:rPr>
      </w:pPr>
      <w:r>
        <w:rPr>
          <w:rFonts w:hint="eastAsia" w:ascii="仿宋_GB2312" w:hAnsi="仿宋_GB2312" w:eastAsia="仿宋_GB2312" w:cs="仿宋_GB2312"/>
          <w:sz w:val="24"/>
          <w:szCs w:val="32"/>
        </w:rPr>
        <w:t>2018年，我省启动医疗机构医疗废物在线监管工作以来，我院已实现医疗废物在线监管全覆盖；已实现与医疗废物集中处置单位线上交接、数据互认，初步实现了医疗废物收集、运送、贮存、处置全过程信息化监管。</w:t>
      </w:r>
    </w:p>
    <w:p w14:paraId="6F01F2B5">
      <w:pPr>
        <w:numPr>
          <w:ilvl w:val="0"/>
          <w:numId w:val="1"/>
        </w:numPr>
        <w:rPr>
          <w:rFonts w:ascii="黑体" w:hAnsi="黑体" w:eastAsia="黑体" w:cs="黑体"/>
          <w:sz w:val="32"/>
          <w:szCs w:val="32"/>
        </w:rPr>
      </w:pPr>
      <w:r>
        <w:rPr>
          <w:rFonts w:hint="eastAsia" w:ascii="黑体" w:hAnsi="黑体" w:eastAsia="黑体" w:cs="黑体"/>
          <w:sz w:val="32"/>
          <w:szCs w:val="32"/>
        </w:rPr>
        <w:t>服务内容</w:t>
      </w:r>
    </w:p>
    <w:p w14:paraId="6F1BA87B">
      <w:pPr>
        <w:spacing w:line="360" w:lineRule="auto"/>
        <w:ind w:firstLine="480" w:firstLineChars="200"/>
        <w:rPr>
          <w:rFonts w:ascii="仿宋_GB2312" w:hAnsi="仿宋_GB2312" w:eastAsia="仿宋_GB2312" w:cs="仿宋_GB2312"/>
          <w:sz w:val="24"/>
          <w:szCs w:val="32"/>
        </w:rPr>
      </w:pPr>
      <w:r>
        <w:rPr>
          <w:rFonts w:hint="eastAsia" w:ascii="仿宋_GB2312" w:hAnsi="仿宋_GB2312" w:eastAsia="仿宋_GB2312" w:cs="仿宋_GB2312"/>
          <w:sz w:val="24"/>
          <w:szCs w:val="32"/>
        </w:rPr>
        <w:t>负责医废智能收集设备的日常保养工作，确保我院日常医废信息准确上报监管平台。</w:t>
      </w:r>
    </w:p>
    <w:p w14:paraId="0046732F">
      <w:pPr>
        <w:spacing w:line="360" w:lineRule="auto"/>
        <w:ind w:firstLine="480" w:firstLineChars="200"/>
        <w:rPr>
          <w:rFonts w:ascii="仿宋_GB2312" w:hAnsi="仿宋_GB2312" w:eastAsia="仿宋_GB2312" w:cs="仿宋_GB2312"/>
          <w:sz w:val="24"/>
          <w:szCs w:val="32"/>
        </w:rPr>
      </w:pPr>
      <w:r>
        <w:rPr>
          <w:rFonts w:hint="eastAsia" w:ascii="仿宋_GB2312" w:hAnsi="仿宋_GB2312" w:eastAsia="仿宋_GB2312" w:cs="仿宋_GB2312"/>
          <w:sz w:val="24"/>
          <w:szCs w:val="32"/>
        </w:rPr>
        <w:t>在维保期内，接到服务通知后，在接报后2小时内响应（电话或者邮件等方式）并提出具体解决办法，如不能解决，应在48小时内到达现场进行解决。</w:t>
      </w:r>
    </w:p>
    <w:p w14:paraId="3444CE9A">
      <w:pPr>
        <w:numPr>
          <w:ilvl w:val="0"/>
          <w:numId w:val="1"/>
        </w:numPr>
        <w:rPr>
          <w:rFonts w:ascii="黑体" w:hAnsi="黑体" w:eastAsia="黑体" w:cs="黑体"/>
          <w:sz w:val="32"/>
          <w:szCs w:val="32"/>
        </w:rPr>
      </w:pPr>
      <w:r>
        <w:rPr>
          <w:rFonts w:hint="eastAsia" w:ascii="黑体" w:hAnsi="黑体" w:eastAsia="黑体" w:cs="黑体"/>
          <w:sz w:val="32"/>
          <w:szCs w:val="32"/>
        </w:rPr>
        <w:t>潜在供应商所需特殊资质要求</w:t>
      </w:r>
    </w:p>
    <w:p w14:paraId="44223B36">
      <w:pPr>
        <w:keepNext w:val="0"/>
        <w:keepLines w:val="0"/>
        <w:pageBreakBefore w:val="0"/>
        <w:widowControl w:val="0"/>
        <w:kinsoku/>
        <w:wordWrap/>
        <w:overflowPunct/>
        <w:topLinePunct w:val="0"/>
        <w:autoSpaceDE/>
        <w:autoSpaceDN/>
        <w:bidi w:val="0"/>
        <w:adjustRightInd/>
        <w:snapToGrid/>
        <w:spacing w:line="360" w:lineRule="auto"/>
        <w:textAlignment w:val="auto"/>
        <w:rPr>
          <w:rFonts w:ascii="仿宋_GB2312" w:hAnsi="仿宋_GB2312" w:eastAsia="仿宋_GB2312" w:cs="仿宋_GB2312"/>
          <w:sz w:val="24"/>
          <w:szCs w:val="32"/>
        </w:rPr>
      </w:pPr>
      <w:r>
        <w:rPr>
          <w:rFonts w:hint="eastAsia" w:ascii="仿宋_GB2312" w:hAnsi="仿宋_GB2312" w:eastAsia="仿宋_GB2312" w:cs="仿宋_GB2312"/>
          <w:sz w:val="24"/>
          <w:szCs w:val="32"/>
        </w:rPr>
        <w:t>供应商经营范围需包含环境护监测、信息系统运行维护服务。</w:t>
      </w:r>
    </w:p>
    <w:p w14:paraId="5E149A20">
      <w:pPr>
        <w:numPr>
          <w:ilvl w:val="0"/>
          <w:numId w:val="1"/>
        </w:numPr>
        <w:rPr>
          <w:rFonts w:ascii="黑体" w:hAnsi="黑体" w:eastAsia="黑体" w:cs="黑体"/>
          <w:sz w:val="32"/>
          <w:szCs w:val="32"/>
        </w:rPr>
      </w:pPr>
      <w:r>
        <w:rPr>
          <w:rFonts w:hint="eastAsia" w:ascii="黑体" w:hAnsi="黑体" w:eastAsia="黑体" w:cs="黑体"/>
          <w:sz w:val="32"/>
          <w:szCs w:val="32"/>
        </w:rPr>
        <w:t>商务要求条款</w:t>
      </w:r>
    </w:p>
    <w:p w14:paraId="77DBDF2F">
      <w:pPr>
        <w:spacing w:line="360" w:lineRule="auto"/>
        <w:rPr>
          <w:rFonts w:ascii="仿宋_GB2312" w:hAnsi="仿宋_GB2312" w:eastAsia="仿宋_GB2312" w:cs="仿宋_GB2312"/>
          <w:sz w:val="24"/>
          <w:szCs w:val="32"/>
        </w:rPr>
      </w:pPr>
      <w:r>
        <w:rPr>
          <w:rFonts w:hint="eastAsia" w:ascii="仿宋_GB2312" w:hAnsi="仿宋_GB2312" w:eastAsia="仿宋_GB2312" w:cs="仿宋_GB2312"/>
          <w:sz w:val="24"/>
          <w:szCs w:val="32"/>
        </w:rPr>
        <w:t>1.服务期限：</w:t>
      </w:r>
      <w:r>
        <w:rPr>
          <w:rFonts w:hint="eastAsia" w:ascii="仿宋_GB2312" w:hAnsi="仿宋_GB2312" w:eastAsia="仿宋_GB2312" w:cs="仿宋_GB2312"/>
          <w:sz w:val="24"/>
          <w:szCs w:val="32"/>
          <w:highlight w:val="yellow"/>
        </w:rPr>
        <w:t>三年，一</w:t>
      </w:r>
      <w:bookmarkStart w:id="0" w:name="_GoBack"/>
      <w:bookmarkEnd w:id="0"/>
      <w:r>
        <w:rPr>
          <w:rFonts w:hint="eastAsia" w:ascii="仿宋_GB2312" w:hAnsi="仿宋_GB2312" w:eastAsia="仿宋_GB2312" w:cs="仿宋_GB2312"/>
          <w:sz w:val="24"/>
          <w:szCs w:val="32"/>
          <w:highlight w:val="yellow"/>
        </w:rPr>
        <w:t>年一签</w:t>
      </w:r>
      <w:r>
        <w:rPr>
          <w:rFonts w:hint="eastAsia" w:ascii="仿宋_GB2312" w:hAnsi="仿宋_GB2312" w:eastAsia="仿宋_GB2312" w:cs="仿宋_GB2312"/>
          <w:sz w:val="24"/>
          <w:szCs w:val="32"/>
          <w:highlight w:val="yellow"/>
          <w:lang w:eastAsia="zh-CN"/>
        </w:rPr>
        <w:t>，</w:t>
      </w:r>
      <w:r>
        <w:rPr>
          <w:rFonts w:hint="eastAsia" w:ascii="仿宋_GB2312" w:hAnsi="仿宋_GB2312" w:eastAsia="仿宋_GB2312" w:cs="仿宋_GB2312"/>
          <w:sz w:val="24"/>
          <w:szCs w:val="32"/>
          <w:highlight w:val="yellow"/>
          <w:lang w:val="en-US" w:eastAsia="zh-CN"/>
        </w:rPr>
        <w:t>考评合格后续签一年，最多续签两次</w:t>
      </w:r>
      <w:r>
        <w:rPr>
          <w:rFonts w:hint="eastAsia" w:ascii="仿宋_GB2312" w:hAnsi="仿宋_GB2312" w:eastAsia="仿宋_GB2312" w:cs="仿宋_GB2312"/>
          <w:sz w:val="24"/>
          <w:szCs w:val="32"/>
          <w:highlight w:val="yellow"/>
        </w:rPr>
        <w:t>。</w:t>
      </w:r>
    </w:p>
    <w:p w14:paraId="2CAF3CEB">
      <w:pPr>
        <w:spacing w:line="360" w:lineRule="auto"/>
        <w:rPr>
          <w:rFonts w:ascii="仿宋_GB2312" w:hAnsi="仿宋_GB2312" w:eastAsia="仿宋_GB2312" w:cs="仿宋_GB2312"/>
          <w:sz w:val="24"/>
          <w:szCs w:val="32"/>
        </w:rPr>
      </w:pPr>
      <w:r>
        <w:rPr>
          <w:rFonts w:hint="eastAsia" w:ascii="仿宋_GB2312" w:hAnsi="仿宋_GB2312" w:eastAsia="仿宋_GB2312" w:cs="仿宋_GB2312"/>
          <w:sz w:val="24"/>
          <w:szCs w:val="32"/>
        </w:rPr>
        <w:t>2.付款方式：</w:t>
      </w:r>
    </w:p>
    <w:p w14:paraId="4FBD213E">
      <w:pPr>
        <w:spacing w:line="360" w:lineRule="auto"/>
        <w:ind w:firstLine="720" w:firstLineChars="300"/>
        <w:rPr>
          <w:rFonts w:hint="eastAsia" w:ascii="仿宋_GB2312" w:hAnsi="仿宋_GB2312" w:eastAsia="仿宋_GB2312" w:cs="仿宋_GB2312"/>
          <w:sz w:val="24"/>
          <w:szCs w:val="32"/>
        </w:rPr>
      </w:pPr>
      <w:r>
        <w:rPr>
          <w:rFonts w:hint="eastAsia" w:ascii="仿宋_GB2312" w:hAnsi="仿宋_GB2312" w:eastAsia="仿宋_GB2312" w:cs="仿宋_GB2312"/>
          <w:sz w:val="24"/>
          <w:szCs w:val="32"/>
        </w:rPr>
        <w:t>当前年度服务结束支付当年100%维修服务费。</w:t>
      </w:r>
    </w:p>
    <w:sectPr>
      <w:pgSz w:w="11906" w:h="16838"/>
      <w:pgMar w:top="1440" w:right="1417" w:bottom="1440" w:left="141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F111548"/>
    <w:multiLevelType w:val="singleLevel"/>
    <w:tmpl w:val="6F111548"/>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580F"/>
    <w:rsid w:val="00173D21"/>
    <w:rsid w:val="002B622A"/>
    <w:rsid w:val="00381805"/>
    <w:rsid w:val="004551FE"/>
    <w:rsid w:val="004759AE"/>
    <w:rsid w:val="00511CCF"/>
    <w:rsid w:val="0053580F"/>
    <w:rsid w:val="005455E6"/>
    <w:rsid w:val="00555453"/>
    <w:rsid w:val="0072285E"/>
    <w:rsid w:val="00801DCB"/>
    <w:rsid w:val="0092634A"/>
    <w:rsid w:val="009B3794"/>
    <w:rsid w:val="00A90805"/>
    <w:rsid w:val="00B01A86"/>
    <w:rsid w:val="00B0781E"/>
    <w:rsid w:val="00E23BFC"/>
    <w:rsid w:val="00EC6768"/>
    <w:rsid w:val="00FF2171"/>
    <w:rsid w:val="02D80479"/>
    <w:rsid w:val="04DE21B6"/>
    <w:rsid w:val="05351452"/>
    <w:rsid w:val="05C375FE"/>
    <w:rsid w:val="11C237B0"/>
    <w:rsid w:val="1BC9085A"/>
    <w:rsid w:val="23483E3A"/>
    <w:rsid w:val="240D7F6A"/>
    <w:rsid w:val="2CD66D5E"/>
    <w:rsid w:val="3E9864F0"/>
    <w:rsid w:val="41401527"/>
    <w:rsid w:val="43D844BC"/>
    <w:rsid w:val="4F745E15"/>
    <w:rsid w:val="5F081D95"/>
    <w:rsid w:val="68994393"/>
    <w:rsid w:val="6DBD3A37"/>
    <w:rsid w:val="770149DE"/>
    <w:rsid w:val="7AE908E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3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9"/>
    <w:qFormat/>
    <w:uiPriority w:val="0"/>
    <w:pPr>
      <w:tabs>
        <w:tab w:val="center" w:pos="4153"/>
        <w:tab w:val="right" w:pos="8306"/>
      </w:tabs>
      <w:snapToGrid w:val="0"/>
      <w:jc w:val="left"/>
    </w:pPr>
    <w:rPr>
      <w:sz w:val="18"/>
      <w:szCs w:val="18"/>
    </w:rPr>
  </w:style>
  <w:style w:type="paragraph" w:styleId="3">
    <w:name w:val="header"/>
    <w:basedOn w:val="1"/>
    <w:link w:val="8"/>
    <w:uiPriority w:val="0"/>
    <w:pPr>
      <w:tabs>
        <w:tab w:val="center" w:pos="4153"/>
        <w:tab w:val="right" w:pos="8306"/>
      </w:tabs>
      <w:snapToGrid w:val="0"/>
      <w:jc w:val="center"/>
    </w:pPr>
    <w:rPr>
      <w:sz w:val="18"/>
      <w:szCs w:val="18"/>
    </w:rPr>
  </w:style>
  <w:style w:type="table" w:styleId="5">
    <w:name w:val="Table Grid"/>
    <w:basedOn w:val="4"/>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7">
    <w:name w:val="List Paragraph"/>
    <w:basedOn w:val="1"/>
    <w:qFormat/>
    <w:uiPriority w:val="34"/>
    <w:pPr>
      <w:ind w:left="720"/>
      <w:contextualSpacing/>
    </w:pPr>
  </w:style>
  <w:style w:type="character" w:customStyle="1" w:styleId="8">
    <w:name w:val="页眉 字符"/>
    <w:basedOn w:val="6"/>
    <w:link w:val="3"/>
    <w:qFormat/>
    <w:uiPriority w:val="0"/>
    <w:rPr>
      <w:kern w:val="2"/>
      <w:sz w:val="18"/>
      <w:szCs w:val="18"/>
    </w:rPr>
  </w:style>
  <w:style w:type="character" w:customStyle="1" w:styleId="9">
    <w:name w:val="页脚 字符"/>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504</Words>
  <Characters>517</Characters>
  <Lines>3</Lines>
  <Paragraphs>1</Paragraphs>
  <TotalTime>1488</TotalTime>
  <ScaleCrop>false</ScaleCrop>
  <LinksUpToDate>false</LinksUpToDate>
  <CharactersWithSpaces>517</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2025-08-07T10:55:00Z</dcterms:created>
  <dc:creator>华西医院</dc:creator>
  <cp:lastModifiedBy>胡钰玲</cp:lastModifiedBy>
  <dcterms:modified xsi:type="dcterms:W3CDTF">2026-09-07T07:16:43Z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eyJoZGlkIjoiZDgxNmEwYTU3MmJjYzAzMGJiOGUwM2JkNWVjYjNhNDMiLCJ1c2VySWQiOiIxNTc0MTg2MjQ1In0=</vt:lpwstr>
  </property>
  <property fmtid="{D5CDD505-2E9C-101B-9397-08002B2CF9AE}" pid="4" name="ICV">
    <vt:lpwstr>F241FA78EC0E4B5AA37F8A7D074F3663_12</vt:lpwstr>
  </property>
</Properties>
</file>